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r>
        <w:rPr>
          <w:rFonts w:asciiTheme="majorBidi" w:hAnsiTheme="majorBidi"/>
          <w:b/>
          <w:bCs/>
          <w:i/>
          <w:iCs/>
          <w:sz w:val="28"/>
          <w:szCs w:val="28"/>
          <w:lang w:bidi="ar-JO"/>
        </w:rPr>
        <w:t>International Competitiveness in Services in Some MENA Countries.</w:t>
      </w:r>
    </w:p>
    <w:p w:rsidR="000142D2" w:rsidRDefault="000142D2" w:rsidP="00592824">
      <w:pPr>
        <w:bidi w:val="0"/>
        <w:rPr>
          <w:rFonts w:asciiTheme="majorBidi" w:hAnsiTheme="majorBidi"/>
          <w:i/>
          <w:iCs/>
          <w:lang w:bidi="ar-JO"/>
        </w:rPr>
      </w:pPr>
    </w:p>
    <w:p w:rsidR="000142D2" w:rsidRDefault="000142D2" w:rsidP="000142D2">
      <w:pPr>
        <w:bidi w:val="0"/>
        <w:rPr>
          <w:rFonts w:asciiTheme="majorBidi" w:hAnsiTheme="majorBidi"/>
          <w:i/>
          <w:iCs/>
          <w:lang w:bidi="ar-JO"/>
        </w:rPr>
      </w:pPr>
    </w:p>
    <w:p w:rsidR="000142D2" w:rsidRDefault="000142D2" w:rsidP="000142D2">
      <w:pPr>
        <w:bidi w:val="0"/>
        <w:rPr>
          <w:rFonts w:asciiTheme="majorBidi" w:hAnsiTheme="majorBidi"/>
          <w:i/>
          <w:iCs/>
          <w:lang w:bidi="ar-JO"/>
        </w:rPr>
      </w:pPr>
    </w:p>
    <w:p w:rsidR="000142D2" w:rsidRDefault="000142D2" w:rsidP="000142D2">
      <w:pPr>
        <w:bidi w:val="0"/>
        <w:rPr>
          <w:rFonts w:asciiTheme="majorBidi" w:hAnsiTheme="majorBidi"/>
          <w:i/>
          <w:iCs/>
          <w:lang w:bidi="ar-JO"/>
        </w:rPr>
      </w:pPr>
    </w:p>
    <w:p w:rsidR="000142D2" w:rsidRDefault="000142D2" w:rsidP="000142D2">
      <w:pPr>
        <w:bidi w:val="0"/>
        <w:rPr>
          <w:rFonts w:asciiTheme="majorBidi" w:hAnsiTheme="majorBidi"/>
          <w:i/>
          <w:iCs/>
          <w:lang w:bidi="ar-JO"/>
        </w:rPr>
      </w:pPr>
    </w:p>
    <w:p w:rsidR="00592824" w:rsidRDefault="000142D2" w:rsidP="000142D2">
      <w:pPr>
        <w:bidi w:val="0"/>
        <w:jc w:val="center"/>
        <w:rPr>
          <w:rFonts w:asciiTheme="majorBidi" w:hAnsiTheme="majorBidi"/>
          <w:i/>
          <w:iCs/>
          <w:lang w:bidi="ar-JO"/>
        </w:rPr>
      </w:pPr>
      <w:r>
        <w:rPr>
          <w:rFonts w:asciiTheme="majorBidi" w:hAnsiTheme="majorBidi"/>
          <w:i/>
          <w:iCs/>
          <w:lang w:bidi="ar-JO"/>
        </w:rPr>
        <w:t>Dr. Nael AL-Husami</w:t>
      </w:r>
      <w:r>
        <w:rPr>
          <w:rStyle w:val="FootnoteReference"/>
          <w:rFonts w:asciiTheme="majorBidi" w:hAnsiTheme="majorBidi"/>
          <w:i/>
          <w:iCs/>
          <w:lang w:bidi="ar-JO"/>
        </w:rPr>
        <w:footnoteReference w:id="1"/>
      </w:r>
      <w:r w:rsidR="00592824">
        <w:rPr>
          <w:rFonts w:asciiTheme="majorBidi" w:hAnsiTheme="majorBidi"/>
          <w:i/>
          <w:iCs/>
          <w:lang w:bidi="ar-JO"/>
        </w:rPr>
        <w:br w:type="page"/>
      </w:r>
    </w:p>
    <w:p w:rsidR="000142D2" w:rsidRDefault="000142D2" w:rsidP="000142D2">
      <w:pPr>
        <w:bidi w:val="0"/>
        <w:rPr>
          <w:rFonts w:asciiTheme="majorBidi" w:hAnsiTheme="majorBidi"/>
          <w:i/>
          <w:iCs/>
          <w:lang w:bidi="ar-JO"/>
        </w:rPr>
      </w:pPr>
    </w:p>
    <w:p w:rsidR="000142D2" w:rsidRDefault="000142D2" w:rsidP="000142D2">
      <w:pPr>
        <w:bidi w:val="0"/>
        <w:rPr>
          <w:rFonts w:asciiTheme="majorBidi" w:hAnsiTheme="majorBidi"/>
          <w:b/>
          <w:bCs/>
          <w:i/>
          <w:iCs/>
          <w:sz w:val="28"/>
          <w:szCs w:val="28"/>
          <w:lang w:bidi="ar-JO"/>
        </w:rPr>
      </w:pPr>
    </w:p>
    <w:p w:rsidR="00592824" w:rsidRDefault="00CB51A4" w:rsidP="00592824">
      <w:pPr>
        <w:pStyle w:val="TOC1"/>
        <w:rPr>
          <w:rFonts w:asciiTheme="minorHAnsi" w:eastAsiaTheme="minorEastAsia" w:hAnsiTheme="minorHAnsi" w:cstheme="minorBidi"/>
          <w:noProof/>
          <w:sz w:val="22"/>
          <w:szCs w:val="22"/>
          <w:rtl/>
        </w:rPr>
      </w:pPr>
      <w:r>
        <w:rPr>
          <w:rFonts w:asciiTheme="majorBidi" w:hAnsiTheme="majorBidi"/>
          <w:sz w:val="28"/>
          <w:lang w:bidi="ar-JO"/>
        </w:rPr>
        <w:fldChar w:fldCharType="begin"/>
      </w:r>
      <w:r w:rsidR="00592824">
        <w:rPr>
          <w:rFonts w:asciiTheme="majorBidi" w:hAnsiTheme="majorBidi"/>
          <w:sz w:val="28"/>
          <w:lang w:bidi="ar-JO"/>
        </w:rPr>
        <w:instrText xml:space="preserve"> TOC \o "1-3" \h \z \u </w:instrText>
      </w:r>
      <w:r>
        <w:rPr>
          <w:rFonts w:asciiTheme="majorBidi" w:hAnsiTheme="majorBidi"/>
          <w:sz w:val="28"/>
          <w:lang w:bidi="ar-JO"/>
        </w:rPr>
        <w:fldChar w:fldCharType="separate"/>
      </w:r>
      <w:hyperlink w:anchor="_Toc316992242" w:history="1">
        <w:r w:rsidR="00592824" w:rsidRPr="003C5343">
          <w:rPr>
            <w:rStyle w:val="Hyperlink"/>
            <w:rFonts w:asciiTheme="majorBidi" w:hAnsiTheme="majorBidi"/>
            <w:i/>
            <w:iCs/>
            <w:noProof/>
            <w:lang w:bidi="ar-JO"/>
          </w:rPr>
          <w:t>1.</w:t>
        </w:r>
        <w:r w:rsidR="00592824">
          <w:rPr>
            <w:rFonts w:asciiTheme="minorHAnsi" w:eastAsiaTheme="minorEastAsia" w:hAnsiTheme="minorHAnsi" w:cstheme="minorBidi"/>
            <w:noProof/>
            <w:sz w:val="22"/>
            <w:szCs w:val="22"/>
            <w:rtl/>
          </w:rPr>
          <w:tab/>
        </w:r>
        <w:r w:rsidR="00592824" w:rsidRPr="003C5343">
          <w:rPr>
            <w:rStyle w:val="Hyperlink"/>
            <w:rFonts w:asciiTheme="majorBidi" w:hAnsiTheme="majorBidi"/>
            <w:i/>
            <w:iCs/>
            <w:noProof/>
            <w:lang w:bidi="ar-JO"/>
          </w:rPr>
          <w:t>Introduction</w:t>
        </w:r>
        <w:r w:rsidR="00592824">
          <w:rPr>
            <w:noProof/>
            <w:webHidden/>
            <w:rtl/>
          </w:rPr>
          <w:tab/>
        </w:r>
        <w:r>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Toc316992242 \h</w:instrText>
        </w:r>
        <w:r w:rsidR="00592824">
          <w:rPr>
            <w:noProof/>
            <w:webHidden/>
            <w:rtl/>
          </w:rPr>
          <w:instrText xml:space="preserve"> </w:instrText>
        </w:r>
        <w:r>
          <w:rPr>
            <w:rStyle w:val="Hyperlink"/>
            <w:noProof/>
            <w:rtl/>
          </w:rPr>
        </w:r>
        <w:r>
          <w:rPr>
            <w:rStyle w:val="Hyperlink"/>
            <w:noProof/>
            <w:rtl/>
          </w:rPr>
          <w:fldChar w:fldCharType="separate"/>
        </w:r>
        <w:r w:rsidR="00592824">
          <w:rPr>
            <w:noProof/>
            <w:webHidden/>
          </w:rPr>
          <w:t>3</w:t>
        </w:r>
        <w:r>
          <w:rPr>
            <w:rStyle w:val="Hyperlink"/>
            <w:noProof/>
            <w:rtl/>
          </w:rPr>
          <w:fldChar w:fldCharType="end"/>
        </w:r>
      </w:hyperlink>
    </w:p>
    <w:p w:rsidR="00592824" w:rsidRDefault="003F10BE" w:rsidP="00592824">
      <w:pPr>
        <w:pStyle w:val="TOC1"/>
        <w:rPr>
          <w:rFonts w:asciiTheme="minorHAnsi" w:eastAsiaTheme="minorEastAsia" w:hAnsiTheme="minorHAnsi" w:cstheme="minorBidi"/>
          <w:noProof/>
          <w:sz w:val="22"/>
          <w:szCs w:val="22"/>
          <w:rtl/>
        </w:rPr>
      </w:pPr>
      <w:hyperlink w:anchor="_Toc316992243" w:history="1">
        <w:r w:rsidR="00592824" w:rsidRPr="003C5343">
          <w:rPr>
            <w:rStyle w:val="Hyperlink"/>
            <w:rFonts w:asciiTheme="majorBidi" w:hAnsiTheme="majorBidi"/>
            <w:i/>
            <w:iCs/>
            <w:noProof/>
            <w:lang w:bidi="ar-JO"/>
          </w:rPr>
          <w:t>2.</w:t>
        </w:r>
        <w:r w:rsidR="00592824">
          <w:rPr>
            <w:rFonts w:asciiTheme="minorHAnsi" w:eastAsiaTheme="minorEastAsia" w:hAnsiTheme="minorHAnsi" w:cstheme="minorBidi"/>
            <w:noProof/>
            <w:sz w:val="22"/>
            <w:szCs w:val="22"/>
            <w:rtl/>
          </w:rPr>
          <w:tab/>
        </w:r>
        <w:r w:rsidR="00592824" w:rsidRPr="003C5343">
          <w:rPr>
            <w:rStyle w:val="Hyperlink"/>
            <w:rFonts w:asciiTheme="majorBidi" w:hAnsiTheme="majorBidi"/>
            <w:i/>
            <w:iCs/>
            <w:noProof/>
            <w:lang w:bidi="ar-JO"/>
          </w:rPr>
          <w:t>Literature</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Toc316992243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4</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44" w:history="1">
        <w:r w:rsidR="00592824" w:rsidRPr="003C5343">
          <w:rPr>
            <w:rStyle w:val="Hyperlink"/>
            <w:rFonts w:asciiTheme="majorBidi" w:hAnsiTheme="majorBidi"/>
            <w:i/>
            <w:iCs/>
            <w:noProof/>
            <w:lang w:bidi="ar-JO"/>
          </w:rPr>
          <w:t>a.</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Previous Studies</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Toc316992244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4</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45" w:history="1">
        <w:r w:rsidR="00592824" w:rsidRPr="003C5343">
          <w:rPr>
            <w:rStyle w:val="Hyperlink"/>
            <w:rFonts w:asciiTheme="majorBidi" w:hAnsiTheme="majorBidi"/>
            <w:i/>
            <w:iCs/>
            <w:noProof/>
            <w:lang w:bidi="ar-JO"/>
          </w:rPr>
          <w:t>b.</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Difficulties</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Toc316992245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6</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46" w:history="1">
        <w:r w:rsidR="00592824" w:rsidRPr="003C5343">
          <w:rPr>
            <w:rStyle w:val="Hyperlink"/>
            <w:rFonts w:asciiTheme="majorBidi" w:hAnsiTheme="majorBidi"/>
            <w:i/>
            <w:iCs/>
            <w:noProof/>
            <w:lang w:bidi="ar-JO"/>
          </w:rPr>
          <w:t>c.</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The International Competitiveness Matrix</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Toc316992246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6</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47" w:history="1">
        <w:r w:rsidR="00592824" w:rsidRPr="003C5343">
          <w:rPr>
            <w:rStyle w:val="Hyperlink"/>
            <w:rFonts w:asciiTheme="majorBidi" w:hAnsiTheme="majorBidi"/>
            <w:i/>
            <w:iCs/>
            <w:noProof/>
            <w:lang w:bidi="ar-JO"/>
          </w:rPr>
          <w:t>d.</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The Gravity Model</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Toc316992247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7</w:t>
        </w:r>
        <w:r w:rsidR="00CB51A4">
          <w:rPr>
            <w:rStyle w:val="Hyperlink"/>
            <w:noProof/>
            <w:rtl/>
          </w:rPr>
          <w:fldChar w:fldCharType="end"/>
        </w:r>
      </w:hyperlink>
    </w:p>
    <w:p w:rsidR="00592824" w:rsidRDefault="003F10BE" w:rsidP="00592824">
      <w:pPr>
        <w:pStyle w:val="TOC1"/>
        <w:rPr>
          <w:rFonts w:asciiTheme="minorHAnsi" w:eastAsiaTheme="minorEastAsia" w:hAnsiTheme="minorHAnsi" w:cstheme="minorBidi"/>
          <w:noProof/>
          <w:sz w:val="22"/>
          <w:szCs w:val="22"/>
          <w:rtl/>
        </w:rPr>
      </w:pPr>
      <w:hyperlink w:anchor="_Toc316992248" w:history="1">
        <w:r w:rsidR="00592824" w:rsidRPr="003C5343">
          <w:rPr>
            <w:rStyle w:val="Hyperlink"/>
            <w:rFonts w:asciiTheme="majorBidi" w:hAnsiTheme="majorBidi"/>
            <w:i/>
            <w:iCs/>
            <w:noProof/>
            <w:lang w:bidi="ar-JO"/>
          </w:rPr>
          <w:t>3.</w:t>
        </w:r>
        <w:r w:rsidR="00592824">
          <w:rPr>
            <w:rFonts w:asciiTheme="minorHAnsi" w:eastAsiaTheme="minorEastAsia" w:hAnsiTheme="minorHAnsi" w:cstheme="minorBidi"/>
            <w:noProof/>
            <w:sz w:val="22"/>
            <w:szCs w:val="22"/>
            <w:rtl/>
          </w:rPr>
          <w:tab/>
        </w:r>
        <w:r w:rsidR="00592824" w:rsidRPr="003C5343">
          <w:rPr>
            <w:rStyle w:val="Hyperlink"/>
            <w:rFonts w:asciiTheme="majorBidi" w:hAnsiTheme="majorBidi"/>
            <w:i/>
            <w:iCs/>
            <w:noProof/>
            <w:lang w:bidi="ar-JO"/>
          </w:rPr>
          <w:t>Descriptive Analysis</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Toc316992248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8</w:t>
        </w:r>
        <w:r w:rsidR="00CB51A4">
          <w:rPr>
            <w:rStyle w:val="Hyperlink"/>
            <w:noProof/>
            <w:rtl/>
          </w:rPr>
          <w:fldChar w:fldCharType="end"/>
        </w:r>
      </w:hyperlink>
    </w:p>
    <w:p w:rsidR="00592824" w:rsidRDefault="003F10BE" w:rsidP="00592824">
      <w:pPr>
        <w:pStyle w:val="TOC1"/>
        <w:rPr>
          <w:rFonts w:asciiTheme="minorHAnsi" w:eastAsiaTheme="minorEastAsia" w:hAnsiTheme="minorHAnsi" w:cstheme="minorBidi"/>
          <w:noProof/>
          <w:sz w:val="22"/>
          <w:szCs w:val="22"/>
          <w:rtl/>
        </w:rPr>
      </w:pPr>
      <w:hyperlink w:anchor="_Toc316992249" w:history="1">
        <w:r w:rsidR="00592824" w:rsidRPr="003C5343">
          <w:rPr>
            <w:rStyle w:val="Hyperlink"/>
            <w:rFonts w:asciiTheme="majorBidi" w:hAnsiTheme="majorBidi"/>
            <w:i/>
            <w:iCs/>
            <w:noProof/>
            <w:lang w:bidi="ar-JO"/>
          </w:rPr>
          <w:t>4.</w:t>
        </w:r>
        <w:r w:rsidR="00592824">
          <w:rPr>
            <w:rFonts w:asciiTheme="minorHAnsi" w:eastAsiaTheme="minorEastAsia" w:hAnsiTheme="minorHAnsi" w:cstheme="minorBidi"/>
            <w:noProof/>
            <w:sz w:val="22"/>
            <w:szCs w:val="22"/>
            <w:rtl/>
          </w:rPr>
          <w:tab/>
        </w:r>
        <w:r w:rsidR="00592824" w:rsidRPr="003C5343">
          <w:rPr>
            <w:rStyle w:val="Hyperlink"/>
            <w:rFonts w:asciiTheme="majorBidi" w:hAnsiTheme="majorBidi"/>
            <w:i/>
            <w:iCs/>
            <w:noProof/>
            <w:lang w:bidi="ar-JO"/>
          </w:rPr>
          <w:t>Results</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Toc316992249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16</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50" w:history="1">
        <w:r w:rsidR="00592824" w:rsidRPr="003C5343">
          <w:rPr>
            <w:rStyle w:val="Hyperlink"/>
            <w:rFonts w:asciiTheme="majorBidi" w:hAnsiTheme="majorBidi"/>
            <w:i/>
            <w:iCs/>
            <w:noProof/>
            <w:lang w:bidi="ar-JO"/>
          </w:rPr>
          <w:t>a.</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Data and the Sample</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Toc316992250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16</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51" w:history="1">
        <w:r w:rsidR="00592824" w:rsidRPr="003C5343">
          <w:rPr>
            <w:rStyle w:val="Hyperlink"/>
            <w:rFonts w:asciiTheme="majorBidi" w:hAnsiTheme="majorBidi"/>
            <w:i/>
            <w:iCs/>
            <w:noProof/>
            <w:lang w:bidi="ar-JO"/>
          </w:rPr>
          <w:t>b.</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The Competitiveness Matrix</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Toc316992251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16</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52" w:history="1">
        <w:r w:rsidR="00592824" w:rsidRPr="003C5343">
          <w:rPr>
            <w:rStyle w:val="Hyperlink"/>
            <w:rFonts w:asciiTheme="majorBidi" w:hAnsiTheme="majorBidi"/>
            <w:i/>
            <w:iCs/>
            <w:noProof/>
            <w:lang w:bidi="ar-JO"/>
          </w:rPr>
          <w:t>c.</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Gravity Model</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Toc316992252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20</w:t>
        </w:r>
        <w:r w:rsidR="00CB51A4">
          <w:rPr>
            <w:rStyle w:val="Hyperlink"/>
            <w:noProof/>
            <w:rtl/>
          </w:rPr>
          <w:fldChar w:fldCharType="end"/>
        </w:r>
      </w:hyperlink>
    </w:p>
    <w:p w:rsidR="00592824" w:rsidRDefault="003F10BE" w:rsidP="00592824">
      <w:pPr>
        <w:pStyle w:val="TOC2"/>
        <w:rPr>
          <w:rFonts w:eastAsiaTheme="minorEastAsia" w:cstheme="minorBidi"/>
          <w:noProof/>
          <w:sz w:val="22"/>
          <w:szCs w:val="22"/>
          <w:rtl/>
        </w:rPr>
      </w:pPr>
      <w:hyperlink w:anchor="_Toc316992253" w:history="1">
        <w:r w:rsidR="00592824" w:rsidRPr="003C5343">
          <w:rPr>
            <w:rStyle w:val="Hyperlink"/>
            <w:rFonts w:asciiTheme="majorBidi" w:hAnsiTheme="majorBidi"/>
            <w:i/>
            <w:iCs/>
            <w:noProof/>
            <w:lang w:bidi="ar-JO"/>
          </w:rPr>
          <w:t>i.</w:t>
        </w:r>
        <w:r w:rsidR="00592824">
          <w:rPr>
            <w:rFonts w:eastAsiaTheme="minorEastAsia" w:cstheme="minorBidi"/>
            <w:noProof/>
            <w:sz w:val="22"/>
            <w:szCs w:val="22"/>
            <w:rtl/>
          </w:rPr>
          <w:tab/>
        </w:r>
        <w:r w:rsidR="00592824" w:rsidRPr="003C5343">
          <w:rPr>
            <w:rStyle w:val="Hyperlink"/>
            <w:rFonts w:asciiTheme="majorBidi" w:hAnsiTheme="majorBidi"/>
            <w:i/>
            <w:iCs/>
            <w:noProof/>
            <w:lang w:bidi="ar-JO"/>
          </w:rPr>
          <w:t>Data Stationarity</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Toc316992253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20</w:t>
        </w:r>
        <w:r w:rsidR="00CB51A4">
          <w:rPr>
            <w:rStyle w:val="Hyperlink"/>
            <w:noProof/>
            <w:rtl/>
          </w:rPr>
          <w:fldChar w:fldCharType="end"/>
        </w:r>
      </w:hyperlink>
    </w:p>
    <w:p w:rsidR="00592824" w:rsidRDefault="003F10BE" w:rsidP="00592824">
      <w:pPr>
        <w:pStyle w:val="TOC1"/>
        <w:rPr>
          <w:rFonts w:asciiTheme="minorHAnsi" w:eastAsiaTheme="minorEastAsia" w:hAnsiTheme="minorHAnsi" w:cstheme="minorBidi"/>
          <w:noProof/>
          <w:sz w:val="22"/>
          <w:szCs w:val="22"/>
          <w:rtl/>
        </w:rPr>
      </w:pPr>
      <w:hyperlink w:anchor="_Toc316992254" w:history="1">
        <w:r w:rsidR="00592824" w:rsidRPr="003C5343">
          <w:rPr>
            <w:rStyle w:val="Hyperlink"/>
            <w:rFonts w:asciiTheme="majorBidi" w:hAnsiTheme="majorBidi"/>
            <w:i/>
            <w:iCs/>
            <w:noProof/>
            <w:lang w:bidi="ar-JO"/>
          </w:rPr>
          <w:t>5.</w:t>
        </w:r>
        <w:r w:rsidR="00592824">
          <w:rPr>
            <w:rFonts w:asciiTheme="minorHAnsi" w:eastAsiaTheme="minorEastAsia" w:hAnsiTheme="minorHAnsi" w:cstheme="minorBidi"/>
            <w:noProof/>
            <w:sz w:val="22"/>
            <w:szCs w:val="22"/>
            <w:rtl/>
          </w:rPr>
          <w:tab/>
        </w:r>
        <w:r w:rsidR="00592824" w:rsidRPr="003C5343">
          <w:rPr>
            <w:rStyle w:val="Hyperlink"/>
            <w:rFonts w:asciiTheme="majorBidi" w:hAnsiTheme="majorBidi"/>
            <w:i/>
            <w:iCs/>
            <w:noProof/>
            <w:lang w:bidi="ar-JO"/>
          </w:rPr>
          <w:t>Concluding Remarks</w:t>
        </w:r>
        <w:r w:rsidR="00592824">
          <w:rPr>
            <w:noProof/>
            <w:webHidden/>
            <w:rtl/>
          </w:rPr>
          <w:tab/>
        </w:r>
        <w:r w:rsidR="00CB51A4">
          <w:rPr>
            <w:rStyle w:val="Hyperlink"/>
            <w:noProof/>
            <w:rtl/>
          </w:rPr>
          <w:fldChar w:fldCharType="begin"/>
        </w:r>
        <w:r w:rsidR="00592824">
          <w:rPr>
            <w:noProof/>
            <w:webHidden/>
            <w:rtl/>
          </w:rPr>
          <w:instrText xml:space="preserve"> </w:instrText>
        </w:r>
        <w:r w:rsidR="00592824">
          <w:rPr>
            <w:noProof/>
            <w:webHidden/>
          </w:rPr>
          <w:instrText>PAGEREF</w:instrText>
        </w:r>
        <w:r w:rsidR="00592824">
          <w:rPr>
            <w:noProof/>
            <w:webHidden/>
            <w:rtl/>
          </w:rPr>
          <w:instrText xml:space="preserve"> _</w:instrText>
        </w:r>
        <w:r w:rsidR="00592824">
          <w:rPr>
            <w:noProof/>
            <w:webHidden/>
          </w:rPr>
          <w:instrText>Toc316992254 \h</w:instrText>
        </w:r>
        <w:r w:rsidR="00592824">
          <w:rPr>
            <w:noProof/>
            <w:webHidden/>
            <w:rtl/>
          </w:rPr>
          <w:instrText xml:space="preserve"> </w:instrText>
        </w:r>
        <w:r w:rsidR="00CB51A4">
          <w:rPr>
            <w:rStyle w:val="Hyperlink"/>
            <w:noProof/>
            <w:rtl/>
          </w:rPr>
        </w:r>
        <w:r w:rsidR="00CB51A4">
          <w:rPr>
            <w:rStyle w:val="Hyperlink"/>
            <w:noProof/>
            <w:rtl/>
          </w:rPr>
          <w:fldChar w:fldCharType="separate"/>
        </w:r>
        <w:r w:rsidR="00592824">
          <w:rPr>
            <w:noProof/>
            <w:webHidden/>
          </w:rPr>
          <w:t>24</w:t>
        </w:r>
        <w:r w:rsidR="00CB51A4">
          <w:rPr>
            <w:rStyle w:val="Hyperlink"/>
            <w:noProof/>
            <w:rtl/>
          </w:rPr>
          <w:fldChar w:fldCharType="end"/>
        </w:r>
      </w:hyperlink>
    </w:p>
    <w:p w:rsidR="00592824" w:rsidRPr="009B0247" w:rsidRDefault="00CB51A4" w:rsidP="00592824">
      <w:pPr>
        <w:bidi w:val="0"/>
        <w:rPr>
          <w:rFonts w:asciiTheme="majorBidi" w:hAnsiTheme="majorBidi"/>
          <w:sz w:val="28"/>
          <w:szCs w:val="28"/>
          <w:lang w:bidi="ar-JO"/>
        </w:rPr>
      </w:pPr>
      <w:r>
        <w:rPr>
          <w:rFonts w:asciiTheme="majorBidi" w:hAnsiTheme="majorBidi"/>
          <w:sz w:val="28"/>
          <w:szCs w:val="28"/>
          <w:lang w:bidi="ar-JO"/>
        </w:rPr>
        <w:fldChar w:fldCharType="end"/>
      </w: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Default="00592824" w:rsidP="00592824">
      <w:pPr>
        <w:bidi w:val="0"/>
        <w:rPr>
          <w:rFonts w:asciiTheme="majorBidi" w:hAnsiTheme="majorBidi"/>
          <w:b/>
          <w:bCs/>
          <w:i/>
          <w:iCs/>
          <w:sz w:val="28"/>
          <w:szCs w:val="28"/>
          <w:lang w:bidi="ar-JO"/>
        </w:rPr>
      </w:pPr>
    </w:p>
    <w:p w:rsidR="00592824" w:rsidRPr="00C20CB1" w:rsidRDefault="00592824" w:rsidP="00592824">
      <w:pPr>
        <w:pStyle w:val="ListParagraph"/>
        <w:numPr>
          <w:ilvl w:val="0"/>
          <w:numId w:val="1"/>
        </w:numPr>
        <w:bidi w:val="0"/>
        <w:ind w:left="284" w:hanging="284"/>
        <w:outlineLvl w:val="0"/>
        <w:rPr>
          <w:rFonts w:asciiTheme="majorBidi" w:hAnsiTheme="majorBidi"/>
          <w:b/>
          <w:bCs/>
          <w:i/>
          <w:iCs/>
          <w:sz w:val="28"/>
          <w:szCs w:val="28"/>
          <w:lang w:bidi="ar-JO"/>
        </w:rPr>
      </w:pPr>
      <w:bookmarkStart w:id="0" w:name="_Toc316991749"/>
      <w:bookmarkStart w:id="1" w:name="_Toc316992242"/>
      <w:r w:rsidRPr="00C20CB1">
        <w:rPr>
          <w:rFonts w:asciiTheme="majorBidi" w:hAnsiTheme="majorBidi"/>
          <w:b/>
          <w:bCs/>
          <w:i/>
          <w:iCs/>
          <w:sz w:val="28"/>
          <w:szCs w:val="28"/>
          <w:lang w:bidi="ar-JO"/>
        </w:rPr>
        <w:t>Introduction</w:t>
      </w:r>
      <w:bookmarkEnd w:id="0"/>
      <w:bookmarkEnd w:id="1"/>
    </w:p>
    <w:p w:rsidR="00592824" w:rsidRPr="009A7008" w:rsidRDefault="00592824" w:rsidP="00592824">
      <w:pPr>
        <w:bidi w:val="0"/>
        <w:spacing w:line="360" w:lineRule="auto"/>
        <w:ind w:firstLine="142"/>
        <w:jc w:val="both"/>
        <w:rPr>
          <w:rStyle w:val="Emphasis"/>
          <w:rFonts w:asciiTheme="majorBidi" w:hAnsiTheme="majorBidi"/>
          <w:i w:val="0"/>
          <w:iCs w:val="0"/>
        </w:rPr>
      </w:pPr>
      <w:r w:rsidRPr="009A7008">
        <w:rPr>
          <w:rStyle w:val="Emphasis"/>
          <w:rFonts w:asciiTheme="majorBidi" w:hAnsiTheme="majorBidi"/>
          <w:i w:val="0"/>
          <w:iCs w:val="0"/>
        </w:rPr>
        <w:t>Trade in services is receiving</w:t>
      </w:r>
      <w:r>
        <w:rPr>
          <w:rStyle w:val="Emphasis"/>
          <w:rFonts w:asciiTheme="majorBidi" w:hAnsiTheme="majorBidi"/>
          <w:i w:val="0"/>
          <w:iCs w:val="0"/>
        </w:rPr>
        <w:t xml:space="preserve"> an</w:t>
      </w:r>
      <w:r w:rsidRPr="009A7008">
        <w:rPr>
          <w:rStyle w:val="Emphasis"/>
          <w:rFonts w:asciiTheme="majorBidi" w:hAnsiTheme="majorBidi"/>
          <w:i w:val="0"/>
          <w:iCs w:val="0"/>
        </w:rPr>
        <w:t xml:space="preserve"> increasing interest in </w:t>
      </w:r>
      <w:r>
        <w:rPr>
          <w:rStyle w:val="Emphasis"/>
          <w:rFonts w:asciiTheme="majorBidi" w:hAnsiTheme="majorBidi"/>
          <w:i w:val="0"/>
          <w:iCs w:val="0"/>
        </w:rPr>
        <w:t xml:space="preserve">both </w:t>
      </w:r>
      <w:r w:rsidRPr="009A7008">
        <w:rPr>
          <w:rStyle w:val="Emphasis"/>
          <w:rFonts w:asciiTheme="majorBidi" w:hAnsiTheme="majorBidi"/>
          <w:i w:val="0"/>
          <w:iCs w:val="0"/>
        </w:rPr>
        <w:t>the trade literature and in the negotiations under the GATS</w:t>
      </w:r>
      <w:r>
        <w:rPr>
          <w:rStyle w:val="Emphasis"/>
          <w:rFonts w:asciiTheme="majorBidi" w:hAnsiTheme="majorBidi"/>
          <w:i w:val="0"/>
          <w:iCs w:val="0"/>
        </w:rPr>
        <w:t xml:space="preserve"> as a result of the importance of services to</w:t>
      </w:r>
      <w:r w:rsidRPr="009A7008">
        <w:rPr>
          <w:rStyle w:val="Emphasis"/>
          <w:rFonts w:asciiTheme="majorBidi" w:hAnsiTheme="majorBidi"/>
          <w:i w:val="0"/>
          <w:iCs w:val="0"/>
        </w:rPr>
        <w:t xml:space="preserve"> the global economy. Services currently account for approximately two thirds of </w:t>
      </w:r>
      <w:r>
        <w:rPr>
          <w:rStyle w:val="Emphasis"/>
          <w:rFonts w:asciiTheme="majorBidi" w:hAnsiTheme="majorBidi"/>
          <w:i w:val="0"/>
          <w:iCs w:val="0"/>
        </w:rPr>
        <w:t xml:space="preserve">the </w:t>
      </w:r>
      <w:r w:rsidRPr="009A7008">
        <w:rPr>
          <w:rStyle w:val="Emphasis"/>
          <w:rFonts w:asciiTheme="majorBidi" w:hAnsiTheme="majorBidi"/>
          <w:i w:val="0"/>
          <w:iCs w:val="0"/>
        </w:rPr>
        <w:t>world</w:t>
      </w:r>
      <w:r>
        <w:rPr>
          <w:rStyle w:val="Emphasis"/>
          <w:rFonts w:asciiTheme="majorBidi" w:hAnsiTheme="majorBidi"/>
          <w:i w:val="0"/>
          <w:iCs w:val="0"/>
        </w:rPr>
        <w:t>'s</w:t>
      </w:r>
      <w:r w:rsidRPr="009A7008">
        <w:rPr>
          <w:rStyle w:val="Emphasis"/>
          <w:rFonts w:asciiTheme="majorBidi" w:hAnsiTheme="majorBidi"/>
          <w:i w:val="0"/>
          <w:iCs w:val="0"/>
        </w:rPr>
        <w:t xml:space="preserve"> GDP and over half of</w:t>
      </w:r>
      <w:r>
        <w:rPr>
          <w:rStyle w:val="Emphasis"/>
          <w:rFonts w:asciiTheme="majorBidi" w:hAnsiTheme="majorBidi"/>
          <w:i w:val="0"/>
          <w:iCs w:val="0"/>
        </w:rPr>
        <w:t xml:space="preserve"> the</w:t>
      </w:r>
      <w:r w:rsidRPr="009A7008">
        <w:rPr>
          <w:rStyle w:val="Emphasis"/>
          <w:rFonts w:asciiTheme="majorBidi" w:hAnsiTheme="majorBidi"/>
          <w:i w:val="0"/>
          <w:iCs w:val="0"/>
        </w:rPr>
        <w:t xml:space="preserve"> total employment in industrialized countries (WTO, 2010). Given these figures, it is surprising to see that the share of services in </w:t>
      </w:r>
      <w:r>
        <w:rPr>
          <w:rStyle w:val="Emphasis"/>
          <w:rFonts w:asciiTheme="majorBidi" w:hAnsiTheme="majorBidi"/>
          <w:i w:val="0"/>
          <w:iCs w:val="0"/>
        </w:rPr>
        <w:t xml:space="preserve">the </w:t>
      </w:r>
      <w:r w:rsidRPr="009A7008">
        <w:rPr>
          <w:rStyle w:val="Emphasis"/>
          <w:rFonts w:asciiTheme="majorBidi" w:hAnsiTheme="majorBidi"/>
          <w:i w:val="0"/>
          <w:iCs w:val="0"/>
        </w:rPr>
        <w:t xml:space="preserve">total trade falls behind, reaching 21% of </w:t>
      </w:r>
      <w:r>
        <w:rPr>
          <w:rStyle w:val="Emphasis"/>
          <w:rFonts w:asciiTheme="majorBidi" w:hAnsiTheme="majorBidi"/>
          <w:i w:val="0"/>
          <w:iCs w:val="0"/>
        </w:rPr>
        <w:t xml:space="preserve">the </w:t>
      </w:r>
      <w:r w:rsidRPr="009A7008">
        <w:rPr>
          <w:rStyle w:val="Emphasis"/>
          <w:rFonts w:asciiTheme="majorBidi" w:hAnsiTheme="majorBidi"/>
          <w:i w:val="0"/>
          <w:iCs w:val="0"/>
        </w:rPr>
        <w:t xml:space="preserve">global trade flows in 2009 (WTO, 2010). </w:t>
      </w:r>
      <w:r>
        <w:rPr>
          <w:rStyle w:val="Emphasis"/>
          <w:rFonts w:asciiTheme="majorBidi" w:hAnsiTheme="majorBidi"/>
          <w:i w:val="0"/>
          <w:iCs w:val="0"/>
        </w:rPr>
        <w:t>Several reasons have been attributed as the causes of the low level of services trade. The most common of these reasons are</w:t>
      </w:r>
      <w:r w:rsidRPr="009A7008">
        <w:rPr>
          <w:rStyle w:val="Emphasis"/>
          <w:rFonts w:asciiTheme="majorBidi" w:hAnsiTheme="majorBidi"/>
          <w:i w:val="0"/>
          <w:iCs w:val="0"/>
        </w:rPr>
        <w:t xml:space="preserve"> the intangible nature of services and the interdependence of services and foreign direct investment flows, which makes the measurement of services trade more difficult. </w:t>
      </w:r>
      <w:r>
        <w:rPr>
          <w:rStyle w:val="Emphasis"/>
          <w:rFonts w:asciiTheme="majorBidi" w:hAnsiTheme="majorBidi"/>
          <w:i w:val="0"/>
          <w:iCs w:val="0"/>
        </w:rPr>
        <w:t>Moreover, t</w:t>
      </w:r>
      <w:r w:rsidRPr="009A7008">
        <w:rPr>
          <w:rStyle w:val="Emphasis"/>
          <w:rFonts w:asciiTheme="majorBidi" w:hAnsiTheme="majorBidi"/>
          <w:i w:val="0"/>
          <w:iCs w:val="0"/>
        </w:rPr>
        <w:t xml:space="preserve">his low figure is also due to the various restrictions on trade in services. </w:t>
      </w:r>
      <w:r>
        <w:rPr>
          <w:rStyle w:val="Emphasis"/>
          <w:rFonts w:asciiTheme="majorBidi" w:hAnsiTheme="majorBidi"/>
          <w:i w:val="0"/>
          <w:iCs w:val="0"/>
        </w:rPr>
        <w:t>As such, this paper attempts to identify the current state of services competitiveness in some MENA countries, as well as identifying the degree of attractiveness of the region given its general macroeconomic characteristics.</w:t>
      </w:r>
    </w:p>
    <w:p w:rsidR="00592824" w:rsidRPr="009A7008" w:rsidRDefault="00592824" w:rsidP="00592824">
      <w:pPr>
        <w:bidi w:val="0"/>
        <w:spacing w:line="360" w:lineRule="auto"/>
        <w:ind w:firstLine="142"/>
        <w:jc w:val="both"/>
        <w:rPr>
          <w:rStyle w:val="Emphasis"/>
          <w:rFonts w:asciiTheme="majorBidi" w:hAnsiTheme="majorBidi"/>
          <w:i w:val="0"/>
          <w:iCs w:val="0"/>
        </w:rPr>
      </w:pPr>
      <w:r w:rsidRPr="009A7008">
        <w:rPr>
          <w:rStyle w:val="Emphasis"/>
          <w:rFonts w:asciiTheme="majorBidi" w:hAnsiTheme="majorBidi"/>
          <w:i w:val="0"/>
          <w:iCs w:val="0"/>
        </w:rPr>
        <w:t>In 2010, the major exporters of</w:t>
      </w:r>
      <w:r>
        <w:rPr>
          <w:rStyle w:val="Emphasis"/>
          <w:rFonts w:asciiTheme="majorBidi" w:hAnsiTheme="majorBidi"/>
          <w:i w:val="0"/>
          <w:iCs w:val="0"/>
        </w:rPr>
        <w:t xml:space="preserve"> the</w:t>
      </w:r>
      <w:r w:rsidRPr="009A7008">
        <w:rPr>
          <w:rStyle w:val="Emphasis"/>
          <w:rFonts w:asciiTheme="majorBidi" w:hAnsiTheme="majorBidi"/>
          <w:i w:val="0"/>
          <w:iCs w:val="0"/>
        </w:rPr>
        <w:t xml:space="preserve"> commercial services </w:t>
      </w:r>
      <w:r>
        <w:rPr>
          <w:rStyle w:val="Emphasis"/>
          <w:rFonts w:asciiTheme="majorBidi" w:hAnsiTheme="majorBidi"/>
          <w:i w:val="0"/>
          <w:iCs w:val="0"/>
        </w:rPr>
        <w:t>were</w:t>
      </w:r>
      <w:r w:rsidRPr="009A7008">
        <w:rPr>
          <w:rStyle w:val="Emphasis"/>
          <w:rFonts w:asciiTheme="majorBidi" w:hAnsiTheme="majorBidi"/>
          <w:i w:val="0"/>
          <w:iCs w:val="0"/>
        </w:rPr>
        <w:t xml:space="preserve"> the European Union, the United States, Japan, China and India, which together represented around two-thirds of </w:t>
      </w:r>
      <w:r>
        <w:rPr>
          <w:rStyle w:val="Emphasis"/>
          <w:rFonts w:asciiTheme="majorBidi" w:hAnsiTheme="majorBidi"/>
          <w:i w:val="0"/>
          <w:iCs w:val="0"/>
        </w:rPr>
        <w:t xml:space="preserve">the </w:t>
      </w:r>
      <w:r w:rsidRPr="009A7008">
        <w:rPr>
          <w:rStyle w:val="Emphasis"/>
          <w:rFonts w:asciiTheme="majorBidi" w:hAnsiTheme="majorBidi"/>
          <w:i w:val="0"/>
          <w:iCs w:val="0"/>
        </w:rPr>
        <w:t>world exports (WTO, 2011). Although Middle East and North Africa (MENA) countries have lately made progress in this field, MENA’s share in</w:t>
      </w:r>
      <w:r>
        <w:rPr>
          <w:rStyle w:val="Emphasis"/>
          <w:rFonts w:asciiTheme="majorBidi" w:hAnsiTheme="majorBidi"/>
          <w:i w:val="0"/>
          <w:iCs w:val="0"/>
        </w:rPr>
        <w:t xml:space="preserve"> the</w:t>
      </w:r>
      <w:r w:rsidRPr="009A7008">
        <w:rPr>
          <w:rStyle w:val="Emphasis"/>
          <w:rFonts w:asciiTheme="majorBidi" w:hAnsiTheme="majorBidi"/>
          <w:i w:val="0"/>
          <w:iCs w:val="0"/>
        </w:rPr>
        <w:t xml:space="preserve"> total services trade has stagnated to</w:t>
      </w:r>
      <w:r>
        <w:rPr>
          <w:rStyle w:val="Emphasis"/>
          <w:rFonts w:asciiTheme="majorBidi" w:hAnsiTheme="majorBidi"/>
          <w:i w:val="0"/>
          <w:iCs w:val="0"/>
        </w:rPr>
        <w:t xml:space="preserve"> around 4.8% in 2010</w:t>
      </w:r>
      <w:r w:rsidRPr="009A7008">
        <w:rPr>
          <w:rStyle w:val="Emphasis"/>
          <w:rFonts w:asciiTheme="majorBidi" w:hAnsiTheme="majorBidi"/>
          <w:i w:val="0"/>
          <w:iCs w:val="0"/>
        </w:rPr>
        <w:t xml:space="preserve">. Moreover, services trade only represented </w:t>
      </w:r>
      <w:r>
        <w:rPr>
          <w:rStyle w:val="Emphasis"/>
          <w:rFonts w:asciiTheme="majorBidi" w:hAnsiTheme="majorBidi"/>
          <w:i w:val="0"/>
          <w:iCs w:val="0"/>
        </w:rPr>
        <w:t>19% of the region’s GDP in 2010</w:t>
      </w:r>
      <w:r w:rsidRPr="009A7008">
        <w:rPr>
          <w:rStyle w:val="Emphasis"/>
          <w:rFonts w:asciiTheme="majorBidi" w:hAnsiTheme="majorBidi"/>
          <w:i w:val="0"/>
          <w:iCs w:val="0"/>
        </w:rPr>
        <w:t>, even though services' added value accounted for more than 40% of GDP. These outcomes do not only reveal serious competitiveness issues</w:t>
      </w:r>
      <w:r>
        <w:rPr>
          <w:rStyle w:val="Emphasis"/>
          <w:rFonts w:asciiTheme="majorBidi" w:hAnsiTheme="majorBidi"/>
          <w:i w:val="0"/>
          <w:iCs w:val="0"/>
        </w:rPr>
        <w:t>,</w:t>
      </w:r>
      <w:r w:rsidRPr="009A7008">
        <w:rPr>
          <w:rStyle w:val="Emphasis"/>
          <w:rFonts w:asciiTheme="majorBidi" w:hAnsiTheme="majorBidi"/>
          <w:i w:val="0"/>
          <w:iCs w:val="0"/>
        </w:rPr>
        <w:t xml:space="preserve"> but</w:t>
      </w:r>
      <w:r>
        <w:rPr>
          <w:rStyle w:val="Emphasis"/>
          <w:rFonts w:asciiTheme="majorBidi" w:hAnsiTheme="majorBidi"/>
          <w:i w:val="0"/>
          <w:iCs w:val="0"/>
        </w:rPr>
        <w:t xml:space="preserve"> also</w:t>
      </w:r>
      <w:r w:rsidRPr="009A7008">
        <w:rPr>
          <w:rStyle w:val="Emphasis"/>
          <w:rFonts w:asciiTheme="majorBidi" w:hAnsiTheme="majorBidi"/>
          <w:i w:val="0"/>
          <w:iCs w:val="0"/>
        </w:rPr>
        <w:t xml:space="preserve"> </w:t>
      </w:r>
      <w:r>
        <w:rPr>
          <w:rStyle w:val="Emphasis"/>
          <w:rFonts w:asciiTheme="majorBidi" w:hAnsiTheme="majorBidi"/>
          <w:i w:val="0"/>
          <w:iCs w:val="0"/>
        </w:rPr>
        <w:t>show the limited commitments of</w:t>
      </w:r>
      <w:r w:rsidRPr="009A7008">
        <w:rPr>
          <w:rStyle w:val="Emphasis"/>
          <w:rFonts w:asciiTheme="majorBidi" w:hAnsiTheme="majorBidi"/>
          <w:i w:val="0"/>
          <w:iCs w:val="0"/>
        </w:rPr>
        <w:t xml:space="preserve"> </w:t>
      </w:r>
      <w:r>
        <w:rPr>
          <w:rStyle w:val="Emphasis"/>
          <w:rFonts w:asciiTheme="majorBidi" w:hAnsiTheme="majorBidi"/>
          <w:i w:val="0"/>
          <w:iCs w:val="0"/>
        </w:rPr>
        <w:t xml:space="preserve">the </w:t>
      </w:r>
      <w:r w:rsidRPr="009A7008">
        <w:rPr>
          <w:rStyle w:val="Emphasis"/>
          <w:rFonts w:asciiTheme="majorBidi" w:hAnsiTheme="majorBidi"/>
          <w:i w:val="0"/>
          <w:iCs w:val="0"/>
        </w:rPr>
        <w:t>liberalization</w:t>
      </w:r>
      <w:r>
        <w:rPr>
          <w:rStyle w:val="Emphasis"/>
          <w:rFonts w:asciiTheme="majorBidi" w:hAnsiTheme="majorBidi"/>
          <w:i w:val="0"/>
          <w:iCs w:val="0"/>
        </w:rPr>
        <w:t xml:space="preserve"> of </w:t>
      </w:r>
      <w:r w:rsidRPr="009A7008">
        <w:rPr>
          <w:rStyle w:val="Emphasis"/>
          <w:rFonts w:asciiTheme="majorBidi" w:hAnsiTheme="majorBidi"/>
          <w:i w:val="0"/>
          <w:iCs w:val="0"/>
        </w:rPr>
        <w:t xml:space="preserve">services </w:t>
      </w:r>
      <w:r>
        <w:rPr>
          <w:rStyle w:val="Emphasis"/>
          <w:rFonts w:asciiTheme="majorBidi" w:hAnsiTheme="majorBidi"/>
          <w:i w:val="0"/>
          <w:iCs w:val="0"/>
        </w:rPr>
        <w:t>by the MENA countries</w:t>
      </w:r>
      <w:r w:rsidRPr="009A7008">
        <w:rPr>
          <w:rStyle w:val="Emphasis"/>
          <w:rFonts w:asciiTheme="majorBidi" w:hAnsiTheme="majorBidi"/>
          <w:i w:val="0"/>
          <w:iCs w:val="0"/>
        </w:rPr>
        <w:t>.</w:t>
      </w:r>
    </w:p>
    <w:p w:rsidR="00592824" w:rsidRDefault="00592824" w:rsidP="00592824">
      <w:pPr>
        <w:bidi w:val="0"/>
        <w:spacing w:line="360" w:lineRule="auto"/>
        <w:jc w:val="both"/>
        <w:rPr>
          <w:rStyle w:val="Emphasis"/>
          <w:rFonts w:asciiTheme="majorBidi" w:hAnsiTheme="majorBidi"/>
          <w:i w:val="0"/>
          <w:iCs w:val="0"/>
        </w:rPr>
      </w:pPr>
      <w:bookmarkStart w:id="2" w:name="_GoBack"/>
      <w:r w:rsidRPr="00AE4F17">
        <w:rPr>
          <w:rStyle w:val="Emphasis"/>
          <w:rFonts w:asciiTheme="majorBidi" w:hAnsiTheme="majorBidi"/>
          <w:i w:val="0"/>
          <w:iCs w:val="0"/>
        </w:rPr>
        <w:t xml:space="preserve">This </w:t>
      </w:r>
      <w:r>
        <w:rPr>
          <w:rStyle w:val="Emphasis"/>
          <w:rFonts w:asciiTheme="majorBidi" w:hAnsiTheme="majorBidi"/>
          <w:i w:val="0"/>
          <w:iCs w:val="0"/>
        </w:rPr>
        <w:t>study analyzes the</w:t>
      </w:r>
      <w:r w:rsidRPr="00AE4F17">
        <w:rPr>
          <w:rStyle w:val="Emphasis"/>
          <w:rFonts w:asciiTheme="majorBidi" w:hAnsiTheme="majorBidi"/>
          <w:i w:val="0"/>
          <w:iCs w:val="0"/>
        </w:rPr>
        <w:t xml:space="preserve"> changes in the </w:t>
      </w:r>
      <w:r>
        <w:rPr>
          <w:rStyle w:val="Emphasis"/>
          <w:rFonts w:asciiTheme="majorBidi" w:hAnsiTheme="majorBidi"/>
          <w:i w:val="0"/>
          <w:iCs w:val="0"/>
        </w:rPr>
        <w:t xml:space="preserve">levels of </w:t>
      </w:r>
      <w:r w:rsidRPr="00AE4F17">
        <w:rPr>
          <w:rStyle w:val="Emphasis"/>
          <w:rFonts w:asciiTheme="majorBidi" w:hAnsiTheme="majorBidi"/>
          <w:i w:val="0"/>
          <w:iCs w:val="0"/>
        </w:rPr>
        <w:t xml:space="preserve">competitiveness of four major service sectors –Transport, Communications, Travel, and Other Business Services- by using </w:t>
      </w:r>
      <w:r>
        <w:rPr>
          <w:rStyle w:val="Emphasis"/>
          <w:rFonts w:asciiTheme="majorBidi" w:hAnsiTheme="majorBidi"/>
          <w:i w:val="0"/>
          <w:iCs w:val="0"/>
        </w:rPr>
        <w:t>the market share position of a number</w:t>
      </w:r>
      <w:r w:rsidRPr="00AE4F17">
        <w:rPr>
          <w:rStyle w:val="Emphasis"/>
          <w:rFonts w:asciiTheme="majorBidi" w:hAnsiTheme="majorBidi"/>
          <w:i w:val="0"/>
          <w:iCs w:val="0"/>
        </w:rPr>
        <w:t xml:space="preserve"> of MENA countries. The approach we use</w:t>
      </w:r>
      <w:r>
        <w:rPr>
          <w:rStyle w:val="Emphasis"/>
          <w:rFonts w:asciiTheme="majorBidi" w:hAnsiTheme="majorBidi"/>
          <w:i w:val="0"/>
          <w:iCs w:val="0"/>
        </w:rPr>
        <w:t xml:space="preserve"> will</w:t>
      </w:r>
      <w:r w:rsidRPr="00AE4F17">
        <w:rPr>
          <w:rStyle w:val="Emphasis"/>
          <w:rFonts w:asciiTheme="majorBidi" w:hAnsiTheme="majorBidi"/>
          <w:i w:val="0"/>
          <w:iCs w:val="0"/>
        </w:rPr>
        <w:t xml:space="preserve"> measure the competitive position of the selected service sectors</w:t>
      </w:r>
      <w:r>
        <w:rPr>
          <w:rStyle w:val="Emphasis"/>
          <w:rFonts w:asciiTheme="majorBidi" w:hAnsiTheme="majorBidi"/>
          <w:i w:val="0"/>
          <w:iCs w:val="0"/>
        </w:rPr>
        <w:t>,</w:t>
      </w:r>
      <w:r w:rsidRPr="00AE4F17">
        <w:rPr>
          <w:rStyle w:val="Emphasis"/>
          <w:rFonts w:asciiTheme="majorBidi" w:hAnsiTheme="majorBidi"/>
          <w:i w:val="0"/>
          <w:iCs w:val="0"/>
        </w:rPr>
        <w:t xml:space="preserve"> and </w:t>
      </w:r>
      <w:r>
        <w:rPr>
          <w:rStyle w:val="Emphasis"/>
          <w:rFonts w:asciiTheme="majorBidi" w:hAnsiTheme="majorBidi"/>
          <w:i w:val="0"/>
          <w:iCs w:val="0"/>
        </w:rPr>
        <w:t xml:space="preserve">it also </w:t>
      </w:r>
      <w:r w:rsidRPr="00AE4F17">
        <w:rPr>
          <w:rStyle w:val="Emphasis"/>
          <w:rFonts w:asciiTheme="majorBidi" w:hAnsiTheme="majorBidi"/>
          <w:i w:val="0"/>
          <w:iCs w:val="0"/>
        </w:rPr>
        <w:t>analyzes their evolution based on a methodology similar to the one followed in those studies th</w:t>
      </w:r>
      <w:r>
        <w:rPr>
          <w:rStyle w:val="Emphasis"/>
          <w:rFonts w:asciiTheme="majorBidi" w:hAnsiTheme="majorBidi"/>
          <w:i w:val="0"/>
          <w:iCs w:val="0"/>
        </w:rPr>
        <w:t>at tackle the industrial sector. Su</w:t>
      </w:r>
      <w:r w:rsidRPr="00AE4F17">
        <w:rPr>
          <w:rStyle w:val="Emphasis"/>
          <w:rFonts w:asciiTheme="majorBidi" w:hAnsiTheme="majorBidi"/>
          <w:i w:val="0"/>
          <w:iCs w:val="0"/>
        </w:rPr>
        <w:t xml:space="preserve">ch </w:t>
      </w:r>
      <w:r>
        <w:rPr>
          <w:rStyle w:val="Emphasis"/>
          <w:rFonts w:asciiTheme="majorBidi" w:hAnsiTheme="majorBidi"/>
          <w:i w:val="0"/>
          <w:iCs w:val="0"/>
        </w:rPr>
        <w:t xml:space="preserve">an approach </w:t>
      </w:r>
      <w:r w:rsidRPr="00AE4F17">
        <w:rPr>
          <w:rStyle w:val="Emphasis"/>
          <w:rFonts w:asciiTheme="majorBidi" w:hAnsiTheme="majorBidi"/>
          <w:i w:val="0"/>
          <w:iCs w:val="0"/>
        </w:rPr>
        <w:t>allows us to eva</w:t>
      </w:r>
      <w:r>
        <w:rPr>
          <w:rStyle w:val="Emphasis"/>
          <w:rFonts w:asciiTheme="majorBidi" w:hAnsiTheme="majorBidi"/>
          <w:i w:val="0"/>
          <w:iCs w:val="0"/>
        </w:rPr>
        <w:t xml:space="preserve">luate the world </w:t>
      </w:r>
      <w:r>
        <w:rPr>
          <w:rStyle w:val="Emphasis"/>
          <w:rFonts w:asciiTheme="majorBidi" w:hAnsiTheme="majorBidi"/>
          <w:i w:val="0"/>
          <w:iCs w:val="0"/>
        </w:rPr>
        <w:lastRenderedPageBreak/>
        <w:t>insertion of</w:t>
      </w:r>
      <w:r w:rsidRPr="00AE4F17">
        <w:rPr>
          <w:rStyle w:val="Emphasis"/>
          <w:rFonts w:asciiTheme="majorBidi" w:hAnsiTheme="majorBidi"/>
          <w:i w:val="0"/>
          <w:iCs w:val="0"/>
        </w:rPr>
        <w:t xml:space="preserve"> MENA countries and, given a certain world demand, their position either as a supplier o</w:t>
      </w:r>
      <w:r>
        <w:rPr>
          <w:rStyle w:val="Emphasis"/>
          <w:rFonts w:asciiTheme="majorBidi" w:hAnsiTheme="majorBidi"/>
          <w:i w:val="0"/>
          <w:iCs w:val="0"/>
        </w:rPr>
        <w:t xml:space="preserve">r a consumer of those services. </w:t>
      </w:r>
      <w:r w:rsidRPr="00AE4F17">
        <w:rPr>
          <w:rStyle w:val="Emphasis"/>
          <w:rFonts w:asciiTheme="majorBidi" w:hAnsiTheme="majorBidi"/>
          <w:i w:val="0"/>
          <w:iCs w:val="0"/>
        </w:rPr>
        <w:t>F</w:t>
      </w:r>
      <w:r>
        <w:rPr>
          <w:rStyle w:val="Emphasis"/>
          <w:rFonts w:asciiTheme="majorBidi" w:hAnsiTheme="majorBidi"/>
          <w:i w:val="0"/>
          <w:iCs w:val="0"/>
        </w:rPr>
        <w:t>urthermore</w:t>
      </w:r>
      <w:r w:rsidRPr="00AE4F17">
        <w:rPr>
          <w:rStyle w:val="Emphasis"/>
          <w:rFonts w:asciiTheme="majorBidi" w:hAnsiTheme="majorBidi"/>
          <w:i w:val="0"/>
          <w:iCs w:val="0"/>
        </w:rPr>
        <w:t xml:space="preserve">, through an empirical analysis we examine the factors explaining </w:t>
      </w:r>
      <w:r>
        <w:rPr>
          <w:rStyle w:val="Emphasis"/>
          <w:rFonts w:asciiTheme="majorBidi" w:hAnsiTheme="majorBidi"/>
          <w:i w:val="0"/>
          <w:iCs w:val="0"/>
        </w:rPr>
        <w:t>the competitive position of the</w:t>
      </w:r>
      <w:r w:rsidRPr="00AE4F17">
        <w:rPr>
          <w:rStyle w:val="Emphasis"/>
          <w:rFonts w:asciiTheme="majorBidi" w:hAnsiTheme="majorBidi"/>
          <w:i w:val="0"/>
          <w:iCs w:val="0"/>
        </w:rPr>
        <w:t xml:space="preserve"> </w:t>
      </w:r>
      <w:r>
        <w:rPr>
          <w:rStyle w:val="Emphasis"/>
          <w:rFonts w:asciiTheme="majorBidi" w:hAnsiTheme="majorBidi"/>
          <w:i w:val="0"/>
          <w:iCs w:val="0"/>
        </w:rPr>
        <w:t xml:space="preserve">selected </w:t>
      </w:r>
      <w:r w:rsidRPr="00AE4F17">
        <w:rPr>
          <w:rStyle w:val="Emphasis"/>
          <w:rFonts w:asciiTheme="majorBidi" w:hAnsiTheme="majorBidi"/>
          <w:i w:val="0"/>
          <w:iCs w:val="0"/>
        </w:rPr>
        <w:t>MENA countries in the</w:t>
      </w:r>
      <w:r>
        <w:rPr>
          <w:rStyle w:val="Emphasis"/>
          <w:rFonts w:asciiTheme="majorBidi" w:hAnsiTheme="majorBidi"/>
          <w:i w:val="0"/>
          <w:iCs w:val="0"/>
        </w:rPr>
        <w:t xml:space="preserve"> four selected service sectors. Moreover, this study introduces a gravity model that explains the current state of competitiveness of services trade in MENA countries, with the aim of identifying the main determinants that enhance the level of competitiveness in this region.</w:t>
      </w:r>
    </w:p>
    <w:p w:rsidR="00592824" w:rsidRDefault="00592824" w:rsidP="00592824">
      <w:pPr>
        <w:bidi w:val="0"/>
        <w:spacing w:line="360" w:lineRule="auto"/>
        <w:jc w:val="both"/>
        <w:rPr>
          <w:lang w:bidi="ar-JO"/>
        </w:rPr>
      </w:pPr>
      <w:r w:rsidRPr="00AE4F17">
        <w:rPr>
          <w:rStyle w:val="Emphasis"/>
          <w:rFonts w:asciiTheme="majorBidi" w:hAnsiTheme="majorBidi"/>
          <w:i w:val="0"/>
          <w:iCs w:val="0"/>
        </w:rPr>
        <w:t xml:space="preserve">The study is structured as follows: The first section </w:t>
      </w:r>
      <w:r>
        <w:rPr>
          <w:rStyle w:val="Emphasis"/>
          <w:rFonts w:asciiTheme="majorBidi" w:hAnsiTheme="majorBidi"/>
          <w:i w:val="0"/>
          <w:iCs w:val="0"/>
        </w:rPr>
        <w:t xml:space="preserve">summarizes the existing literature that addresses trade in services, and it </w:t>
      </w:r>
      <w:r w:rsidRPr="00AE4F17">
        <w:rPr>
          <w:rStyle w:val="Emphasis"/>
          <w:rFonts w:asciiTheme="majorBidi" w:hAnsiTheme="majorBidi"/>
          <w:i w:val="0"/>
          <w:iCs w:val="0"/>
        </w:rPr>
        <w:t>exposes the difficulties involved in the measurement of international competitiveness</w:t>
      </w:r>
      <w:r w:rsidRPr="00AE4F17">
        <w:rPr>
          <w:rStyle w:val="Emphasis"/>
          <w:rFonts w:asciiTheme="majorBidi" w:hAnsiTheme="majorBidi"/>
          <w:i w:val="0"/>
          <w:iCs w:val="0"/>
          <w:rtl/>
        </w:rPr>
        <w:t>.</w:t>
      </w:r>
      <w:r w:rsidRPr="00AE4F17">
        <w:rPr>
          <w:rStyle w:val="Emphasis"/>
          <w:rFonts w:asciiTheme="majorBidi" w:hAnsiTheme="majorBidi"/>
          <w:i w:val="0"/>
          <w:iCs w:val="0"/>
        </w:rPr>
        <w:t xml:space="preserve"> Section two develops the descriptive analysis of the competitive </w:t>
      </w:r>
      <w:r>
        <w:rPr>
          <w:rStyle w:val="Emphasis"/>
          <w:rFonts w:asciiTheme="majorBidi" w:hAnsiTheme="majorBidi"/>
          <w:i w:val="0"/>
          <w:iCs w:val="0"/>
        </w:rPr>
        <w:t>position of some MENA countries.</w:t>
      </w:r>
      <w:r w:rsidRPr="00AE4F17">
        <w:rPr>
          <w:rStyle w:val="Emphasis"/>
          <w:rFonts w:asciiTheme="majorBidi" w:hAnsiTheme="majorBidi"/>
          <w:i w:val="0"/>
          <w:iCs w:val="0"/>
        </w:rPr>
        <w:t xml:space="preserve"> </w:t>
      </w:r>
      <w:r>
        <w:rPr>
          <w:rStyle w:val="Emphasis"/>
          <w:rFonts w:asciiTheme="majorBidi" w:hAnsiTheme="majorBidi"/>
          <w:i w:val="0"/>
          <w:iCs w:val="0"/>
        </w:rPr>
        <w:t>S</w:t>
      </w:r>
      <w:r w:rsidRPr="00AE4F17">
        <w:rPr>
          <w:rStyle w:val="Emphasis"/>
          <w:rFonts w:asciiTheme="majorBidi" w:hAnsiTheme="majorBidi"/>
          <w:i w:val="0"/>
          <w:iCs w:val="0"/>
        </w:rPr>
        <w:t xml:space="preserve">ection </w:t>
      </w:r>
      <w:r>
        <w:rPr>
          <w:rStyle w:val="Emphasis"/>
          <w:rFonts w:asciiTheme="majorBidi" w:hAnsiTheme="majorBidi"/>
          <w:i w:val="0"/>
          <w:iCs w:val="0"/>
        </w:rPr>
        <w:t>three illustrates the results of both the competitiveness matrices and the</w:t>
      </w:r>
      <w:r w:rsidRPr="00AE4F17">
        <w:rPr>
          <w:rStyle w:val="Emphasis"/>
          <w:rFonts w:asciiTheme="majorBidi" w:hAnsiTheme="majorBidi"/>
          <w:i w:val="0"/>
          <w:iCs w:val="0"/>
        </w:rPr>
        <w:t xml:space="preserve"> dependent model to find the factors explaining the competitive position of the four selected service sectors</w:t>
      </w:r>
      <w:r w:rsidRPr="00AE4F17">
        <w:rPr>
          <w:rStyle w:val="Emphasis"/>
          <w:rFonts w:asciiTheme="majorBidi" w:hAnsiTheme="majorBidi"/>
          <w:i w:val="0"/>
          <w:iCs w:val="0"/>
          <w:rtl/>
        </w:rPr>
        <w:t>.</w:t>
      </w:r>
      <w:r w:rsidRPr="00AE4F17">
        <w:rPr>
          <w:rStyle w:val="Emphasis"/>
          <w:rFonts w:asciiTheme="majorBidi" w:hAnsiTheme="majorBidi"/>
          <w:i w:val="0"/>
          <w:iCs w:val="0"/>
        </w:rPr>
        <w:t xml:space="preserve"> The final section discusses some general conclusions.</w:t>
      </w:r>
    </w:p>
    <w:bookmarkEnd w:id="2"/>
    <w:p w:rsidR="00592824" w:rsidRPr="00484E6D" w:rsidRDefault="00592824" w:rsidP="00592824">
      <w:pPr>
        <w:bidi w:val="0"/>
        <w:spacing w:line="360" w:lineRule="auto"/>
        <w:jc w:val="both"/>
        <w:rPr>
          <w:lang w:bidi="ar-JO"/>
        </w:rPr>
      </w:pPr>
    </w:p>
    <w:p w:rsidR="00592824" w:rsidRPr="00C20CB1" w:rsidRDefault="00592824" w:rsidP="00592824">
      <w:pPr>
        <w:pStyle w:val="ListParagraph"/>
        <w:numPr>
          <w:ilvl w:val="0"/>
          <w:numId w:val="1"/>
        </w:numPr>
        <w:bidi w:val="0"/>
        <w:ind w:left="284" w:hanging="284"/>
        <w:outlineLvl w:val="0"/>
        <w:rPr>
          <w:rFonts w:asciiTheme="majorBidi" w:hAnsiTheme="majorBidi"/>
          <w:b/>
          <w:bCs/>
          <w:i/>
          <w:iCs/>
          <w:sz w:val="28"/>
          <w:szCs w:val="28"/>
          <w:lang w:bidi="ar-JO"/>
        </w:rPr>
      </w:pPr>
      <w:bookmarkStart w:id="3" w:name="_Toc316991750"/>
      <w:bookmarkStart w:id="4" w:name="_Toc316992243"/>
      <w:r w:rsidRPr="00C20CB1">
        <w:rPr>
          <w:rFonts w:asciiTheme="majorBidi" w:hAnsiTheme="majorBidi"/>
          <w:b/>
          <w:bCs/>
          <w:i/>
          <w:iCs/>
          <w:sz w:val="28"/>
          <w:szCs w:val="28"/>
          <w:lang w:bidi="ar-JO"/>
        </w:rPr>
        <w:t>Literature</w:t>
      </w:r>
      <w:bookmarkEnd w:id="3"/>
      <w:bookmarkEnd w:id="4"/>
    </w:p>
    <w:p w:rsidR="00592824" w:rsidRPr="00C20CB1" w:rsidRDefault="00592824" w:rsidP="00592824">
      <w:pPr>
        <w:pStyle w:val="ListParagraph"/>
        <w:bidi w:val="0"/>
        <w:rPr>
          <w:rFonts w:asciiTheme="majorBidi" w:hAnsiTheme="majorBidi"/>
          <w:b/>
          <w:bCs/>
          <w:i/>
          <w:iCs/>
          <w:sz w:val="28"/>
          <w:szCs w:val="28"/>
          <w:lang w:bidi="ar-JO"/>
        </w:rPr>
      </w:pPr>
    </w:p>
    <w:p w:rsidR="00592824" w:rsidRPr="00C20CB1" w:rsidRDefault="00592824" w:rsidP="00592824">
      <w:pPr>
        <w:pStyle w:val="ListParagraph"/>
        <w:numPr>
          <w:ilvl w:val="1"/>
          <w:numId w:val="1"/>
        </w:numPr>
        <w:bidi w:val="0"/>
        <w:ind w:left="709"/>
        <w:outlineLvl w:val="1"/>
        <w:rPr>
          <w:rFonts w:asciiTheme="majorBidi" w:hAnsiTheme="majorBidi"/>
          <w:b/>
          <w:bCs/>
          <w:i/>
          <w:iCs/>
          <w:sz w:val="28"/>
          <w:szCs w:val="28"/>
          <w:lang w:bidi="ar-JO"/>
        </w:rPr>
      </w:pPr>
      <w:bookmarkStart w:id="5" w:name="_Toc316991751"/>
      <w:bookmarkStart w:id="6" w:name="_Toc316992244"/>
      <w:r w:rsidRPr="00C20CB1">
        <w:rPr>
          <w:rFonts w:asciiTheme="majorBidi" w:hAnsiTheme="majorBidi"/>
          <w:b/>
          <w:bCs/>
          <w:i/>
          <w:iCs/>
          <w:sz w:val="28"/>
          <w:szCs w:val="28"/>
          <w:lang w:bidi="ar-JO"/>
        </w:rPr>
        <w:t>Previous Studies</w:t>
      </w:r>
      <w:bookmarkEnd w:id="5"/>
      <w:bookmarkEnd w:id="6"/>
    </w:p>
    <w:p w:rsidR="00592824" w:rsidRDefault="00592824" w:rsidP="00592824">
      <w:pPr>
        <w:bidi w:val="0"/>
        <w:spacing w:after="0" w:line="360" w:lineRule="auto"/>
        <w:ind w:firstLine="142"/>
        <w:jc w:val="both"/>
        <w:rPr>
          <w:rStyle w:val="Emphasis"/>
          <w:rFonts w:asciiTheme="majorBidi" w:hAnsiTheme="majorBidi"/>
          <w:i w:val="0"/>
          <w:iCs w:val="0"/>
        </w:rPr>
      </w:pPr>
      <w:r w:rsidRPr="00CB6466">
        <w:rPr>
          <w:rStyle w:val="Emphasis"/>
          <w:rFonts w:asciiTheme="majorBidi" w:hAnsiTheme="majorBidi"/>
          <w:i w:val="0"/>
          <w:iCs w:val="0"/>
        </w:rPr>
        <w:t xml:space="preserve">Traditionally, services </w:t>
      </w:r>
      <w:r>
        <w:rPr>
          <w:rStyle w:val="Emphasis"/>
          <w:rFonts w:asciiTheme="majorBidi" w:hAnsiTheme="majorBidi"/>
          <w:i w:val="0"/>
          <w:iCs w:val="0"/>
        </w:rPr>
        <w:t>were</w:t>
      </w:r>
      <w:r w:rsidRPr="00CB6466">
        <w:rPr>
          <w:rStyle w:val="Emphasis"/>
          <w:rFonts w:asciiTheme="majorBidi" w:hAnsiTheme="majorBidi"/>
          <w:i w:val="0"/>
          <w:iCs w:val="0"/>
        </w:rPr>
        <w:t xml:space="preserve"> regarded as intangible </w:t>
      </w:r>
      <w:r>
        <w:rPr>
          <w:rStyle w:val="Emphasis"/>
          <w:rFonts w:asciiTheme="majorBidi" w:hAnsiTheme="majorBidi"/>
          <w:i w:val="0"/>
          <w:iCs w:val="0"/>
        </w:rPr>
        <w:t xml:space="preserve">products, </w:t>
      </w:r>
      <w:r w:rsidRPr="00CB6466">
        <w:rPr>
          <w:rStyle w:val="Emphasis"/>
          <w:rFonts w:asciiTheme="majorBidi" w:hAnsiTheme="majorBidi"/>
          <w:i w:val="0"/>
          <w:iCs w:val="0"/>
        </w:rPr>
        <w:t xml:space="preserve">and their consumption </w:t>
      </w:r>
      <w:r>
        <w:rPr>
          <w:rStyle w:val="Emphasis"/>
          <w:rFonts w:asciiTheme="majorBidi" w:hAnsiTheme="majorBidi"/>
          <w:i w:val="0"/>
          <w:iCs w:val="0"/>
        </w:rPr>
        <w:t xml:space="preserve">being </w:t>
      </w:r>
      <w:r w:rsidRPr="00CB6466">
        <w:rPr>
          <w:rStyle w:val="Emphasis"/>
          <w:rFonts w:asciiTheme="majorBidi" w:hAnsiTheme="majorBidi"/>
          <w:i w:val="0"/>
          <w:iCs w:val="0"/>
        </w:rPr>
        <w:t>in</w:t>
      </w:r>
      <w:r>
        <w:rPr>
          <w:rStyle w:val="Emphasis"/>
          <w:rFonts w:asciiTheme="majorBidi" w:hAnsiTheme="majorBidi"/>
          <w:i w:val="0"/>
          <w:iCs w:val="0"/>
        </w:rPr>
        <w:t>divisible from their production,</w:t>
      </w:r>
      <w:r w:rsidRPr="00CB6466">
        <w:rPr>
          <w:rStyle w:val="Emphasis"/>
          <w:rFonts w:asciiTheme="majorBidi" w:hAnsiTheme="majorBidi"/>
          <w:i w:val="0"/>
          <w:iCs w:val="0"/>
        </w:rPr>
        <w:t xml:space="preserve"> </w:t>
      </w:r>
      <w:r>
        <w:rPr>
          <w:rStyle w:val="Emphasis"/>
          <w:rFonts w:asciiTheme="majorBidi" w:hAnsiTheme="majorBidi"/>
          <w:i w:val="0"/>
          <w:iCs w:val="0"/>
        </w:rPr>
        <w:t xml:space="preserve">leading them to being considered as </w:t>
      </w:r>
      <w:r w:rsidRPr="00CB6466">
        <w:rPr>
          <w:rStyle w:val="Emphasis"/>
          <w:rFonts w:asciiTheme="majorBidi" w:hAnsiTheme="majorBidi"/>
          <w:i w:val="0"/>
          <w:iCs w:val="0"/>
        </w:rPr>
        <w:t>non</w:t>
      </w:r>
      <w:r>
        <w:rPr>
          <w:rStyle w:val="Emphasis"/>
          <w:rFonts w:asciiTheme="majorBidi" w:hAnsiTheme="majorBidi"/>
          <w:i w:val="0"/>
          <w:iCs w:val="0"/>
        </w:rPr>
        <w:t>-</w:t>
      </w:r>
      <w:r w:rsidRPr="00674448">
        <w:rPr>
          <w:rStyle w:val="Emphasis"/>
          <w:rFonts w:asciiTheme="majorBidi" w:hAnsiTheme="majorBidi"/>
          <w:i w:val="0"/>
          <w:iCs w:val="0"/>
        </w:rPr>
        <w:t>tradable</w:t>
      </w:r>
      <w:r w:rsidRPr="00943383">
        <w:rPr>
          <w:rStyle w:val="Emphasis"/>
          <w:rFonts w:asciiTheme="majorBidi" w:hAnsiTheme="majorBidi"/>
          <w:i w:val="0"/>
          <w:iCs w:val="0"/>
          <w:color w:val="FF0000"/>
        </w:rPr>
        <w:t xml:space="preserve"> </w:t>
      </w:r>
      <w:r w:rsidRPr="00DB5090">
        <w:rPr>
          <w:rStyle w:val="Emphasis"/>
          <w:rFonts w:asciiTheme="majorBidi" w:hAnsiTheme="majorBidi"/>
          <w:i w:val="0"/>
          <w:iCs w:val="0"/>
        </w:rPr>
        <w:t>(Fuchs, 1968).</w:t>
      </w:r>
      <w:r>
        <w:rPr>
          <w:rStyle w:val="Emphasis"/>
          <w:rFonts w:asciiTheme="majorBidi" w:hAnsiTheme="majorBidi"/>
          <w:i w:val="0"/>
          <w:iCs w:val="0"/>
        </w:rPr>
        <w:t xml:space="preserve"> Nevertheless,</w:t>
      </w:r>
      <w:r w:rsidRPr="00CB6466">
        <w:rPr>
          <w:rStyle w:val="Emphasis"/>
          <w:rFonts w:asciiTheme="majorBidi" w:hAnsiTheme="majorBidi"/>
          <w:i w:val="0"/>
          <w:iCs w:val="0"/>
        </w:rPr>
        <w:t xml:space="preserve"> </w:t>
      </w:r>
      <w:proofErr w:type="spellStart"/>
      <w:r w:rsidRPr="00DB5090">
        <w:rPr>
          <w:rStyle w:val="Emphasis"/>
          <w:rFonts w:asciiTheme="majorBidi" w:hAnsiTheme="majorBidi"/>
          <w:i w:val="0"/>
          <w:iCs w:val="0"/>
        </w:rPr>
        <w:t>Bhagwati</w:t>
      </w:r>
      <w:proofErr w:type="spellEnd"/>
      <w:r w:rsidRPr="00DB5090">
        <w:rPr>
          <w:rStyle w:val="Emphasis"/>
          <w:rFonts w:asciiTheme="majorBidi" w:hAnsiTheme="majorBidi"/>
          <w:i w:val="0"/>
          <w:iCs w:val="0"/>
        </w:rPr>
        <w:t xml:space="preserve"> (1984)</w:t>
      </w:r>
      <w:r>
        <w:rPr>
          <w:rStyle w:val="Emphasis"/>
          <w:rFonts w:asciiTheme="majorBidi" w:hAnsiTheme="majorBidi"/>
          <w:i w:val="0"/>
          <w:iCs w:val="0"/>
        </w:rPr>
        <w:t xml:space="preserve"> and others have observed that</w:t>
      </w:r>
      <w:r w:rsidRPr="00CB6466">
        <w:rPr>
          <w:rStyle w:val="Emphasis"/>
          <w:rFonts w:asciiTheme="majorBidi" w:hAnsiTheme="majorBidi"/>
          <w:i w:val="0"/>
          <w:iCs w:val="0"/>
        </w:rPr>
        <w:t xml:space="preserve"> due to technological developments in telecommunications and information technology, the physical </w:t>
      </w:r>
      <w:r>
        <w:rPr>
          <w:rStyle w:val="Emphasis"/>
          <w:rFonts w:asciiTheme="majorBidi" w:hAnsiTheme="majorBidi"/>
          <w:i w:val="0"/>
          <w:iCs w:val="0"/>
        </w:rPr>
        <w:t>and consumption</w:t>
      </w:r>
      <w:r w:rsidRPr="00CB6466">
        <w:rPr>
          <w:rStyle w:val="Emphasis"/>
          <w:rFonts w:asciiTheme="majorBidi" w:hAnsiTheme="majorBidi"/>
          <w:i w:val="0"/>
          <w:iCs w:val="0"/>
        </w:rPr>
        <w:t xml:space="preserve"> requirement</w:t>
      </w:r>
      <w:r>
        <w:rPr>
          <w:rStyle w:val="Emphasis"/>
          <w:rFonts w:asciiTheme="majorBidi" w:hAnsiTheme="majorBidi"/>
          <w:i w:val="0"/>
          <w:iCs w:val="0"/>
        </w:rPr>
        <w:t>s</w:t>
      </w:r>
      <w:r w:rsidRPr="00CB6466">
        <w:rPr>
          <w:rStyle w:val="Emphasis"/>
          <w:rFonts w:asciiTheme="majorBidi" w:hAnsiTheme="majorBidi"/>
          <w:i w:val="0"/>
          <w:iCs w:val="0"/>
        </w:rPr>
        <w:t xml:space="preserve"> of services </w:t>
      </w:r>
      <w:r>
        <w:rPr>
          <w:rStyle w:val="Emphasis"/>
          <w:rFonts w:asciiTheme="majorBidi" w:hAnsiTheme="majorBidi"/>
          <w:i w:val="0"/>
          <w:iCs w:val="0"/>
        </w:rPr>
        <w:t xml:space="preserve">trade </w:t>
      </w:r>
      <w:r w:rsidRPr="00CB6466">
        <w:rPr>
          <w:rStyle w:val="Emphasis"/>
          <w:rFonts w:asciiTheme="majorBidi" w:hAnsiTheme="majorBidi"/>
          <w:i w:val="0"/>
          <w:iCs w:val="0"/>
        </w:rPr>
        <w:t>may have been reduced, enhancing the tradability of services. In fact, since the early 1980s, international trade in services has expanded rapidly and faster t</w:t>
      </w:r>
      <w:r>
        <w:rPr>
          <w:rStyle w:val="Emphasis"/>
          <w:rFonts w:asciiTheme="majorBidi" w:hAnsiTheme="majorBidi"/>
          <w:i w:val="0"/>
          <w:iCs w:val="0"/>
        </w:rPr>
        <w:t>han trade in merchandise, hence,</w:t>
      </w:r>
      <w:r w:rsidRPr="00CB6466">
        <w:rPr>
          <w:rStyle w:val="Emphasis"/>
          <w:rFonts w:asciiTheme="majorBidi" w:hAnsiTheme="majorBidi"/>
          <w:i w:val="0"/>
          <w:iCs w:val="0"/>
        </w:rPr>
        <w:t xml:space="preserve"> in 1990 global services trade reached 20% of </w:t>
      </w:r>
      <w:r>
        <w:rPr>
          <w:rStyle w:val="Emphasis"/>
          <w:rFonts w:asciiTheme="majorBidi" w:hAnsiTheme="majorBidi"/>
          <w:i w:val="0"/>
          <w:iCs w:val="0"/>
        </w:rPr>
        <w:t xml:space="preserve">the total </w:t>
      </w:r>
      <w:r w:rsidRPr="00CB6466">
        <w:rPr>
          <w:rStyle w:val="Emphasis"/>
          <w:rFonts w:asciiTheme="majorBidi" w:hAnsiTheme="majorBidi"/>
          <w:i w:val="0"/>
          <w:iCs w:val="0"/>
        </w:rPr>
        <w:t xml:space="preserve">global </w:t>
      </w:r>
      <w:r w:rsidRPr="00DB5090">
        <w:rPr>
          <w:rStyle w:val="Emphasis"/>
          <w:rFonts w:asciiTheme="majorBidi" w:hAnsiTheme="majorBidi"/>
          <w:i w:val="0"/>
          <w:iCs w:val="0"/>
        </w:rPr>
        <w:t>trade (Triplett and Bosworth, 2002).</w:t>
      </w:r>
    </w:p>
    <w:p w:rsidR="00592824" w:rsidRDefault="00592824" w:rsidP="00592824">
      <w:pPr>
        <w:bidi w:val="0"/>
        <w:spacing w:after="0" w:line="360" w:lineRule="auto"/>
        <w:ind w:firstLine="142"/>
        <w:jc w:val="both"/>
        <w:rPr>
          <w:rStyle w:val="Emphasis"/>
          <w:rFonts w:asciiTheme="majorBidi" w:hAnsiTheme="majorBidi"/>
          <w:i w:val="0"/>
          <w:iCs w:val="0"/>
        </w:rPr>
      </w:pPr>
      <w:r w:rsidRPr="00CB6466">
        <w:rPr>
          <w:rStyle w:val="Emphasis"/>
          <w:rFonts w:asciiTheme="majorBidi" w:hAnsiTheme="majorBidi"/>
          <w:i w:val="0"/>
          <w:iCs w:val="0"/>
        </w:rPr>
        <w:t xml:space="preserve">Together with the increase in services trade, several theoretical models of trade in producer services and of the economic consequences of trade liberalization in services have been proposed by </w:t>
      </w:r>
      <w:proofErr w:type="spellStart"/>
      <w:r w:rsidRPr="00DB5090">
        <w:rPr>
          <w:rStyle w:val="Emphasis"/>
          <w:rFonts w:asciiTheme="majorBidi" w:hAnsiTheme="majorBidi"/>
          <w:i w:val="0"/>
          <w:iCs w:val="0"/>
        </w:rPr>
        <w:t>Markusen</w:t>
      </w:r>
      <w:proofErr w:type="spellEnd"/>
      <w:r w:rsidRPr="00DB5090">
        <w:rPr>
          <w:rStyle w:val="Emphasis"/>
          <w:rFonts w:asciiTheme="majorBidi" w:hAnsiTheme="majorBidi"/>
          <w:i w:val="0"/>
          <w:iCs w:val="0"/>
        </w:rPr>
        <w:t xml:space="preserve"> (1989), Melvin (1989), Francois (1990a, 1990b), Jones and </w:t>
      </w:r>
      <w:proofErr w:type="spellStart"/>
      <w:r w:rsidRPr="00DB5090">
        <w:rPr>
          <w:rStyle w:val="Emphasis"/>
          <w:rFonts w:asciiTheme="majorBidi" w:hAnsiTheme="majorBidi"/>
          <w:i w:val="0"/>
          <w:iCs w:val="0"/>
        </w:rPr>
        <w:t>Ruane</w:t>
      </w:r>
      <w:proofErr w:type="spellEnd"/>
      <w:r w:rsidRPr="00DB5090">
        <w:rPr>
          <w:rStyle w:val="Emphasis"/>
          <w:rFonts w:asciiTheme="majorBidi" w:hAnsiTheme="majorBidi"/>
          <w:i w:val="0"/>
          <w:iCs w:val="0"/>
        </w:rPr>
        <w:t xml:space="preserve"> (1990), and </w:t>
      </w:r>
      <w:proofErr w:type="spellStart"/>
      <w:r w:rsidRPr="00DB5090">
        <w:rPr>
          <w:rStyle w:val="Emphasis"/>
          <w:rFonts w:asciiTheme="majorBidi" w:hAnsiTheme="majorBidi"/>
          <w:i w:val="0"/>
          <w:iCs w:val="0"/>
        </w:rPr>
        <w:t>Deardorff</w:t>
      </w:r>
      <w:proofErr w:type="spellEnd"/>
      <w:r w:rsidRPr="00DB5090">
        <w:rPr>
          <w:rStyle w:val="Emphasis"/>
          <w:rFonts w:asciiTheme="majorBidi" w:hAnsiTheme="majorBidi"/>
          <w:i w:val="0"/>
          <w:iCs w:val="0"/>
        </w:rPr>
        <w:t xml:space="preserve"> (2001).</w:t>
      </w:r>
      <w:r w:rsidRPr="00CB6466">
        <w:rPr>
          <w:rStyle w:val="Emphasis"/>
          <w:rFonts w:asciiTheme="majorBidi" w:hAnsiTheme="majorBidi"/>
          <w:i w:val="0"/>
          <w:iCs w:val="0"/>
        </w:rPr>
        <w:t xml:space="preserve"> </w:t>
      </w:r>
      <w:r>
        <w:rPr>
          <w:rStyle w:val="Emphasis"/>
          <w:rFonts w:asciiTheme="majorBidi" w:hAnsiTheme="majorBidi"/>
          <w:i w:val="0"/>
          <w:iCs w:val="0"/>
        </w:rPr>
        <w:t>E</w:t>
      </w:r>
      <w:r w:rsidRPr="00CB6466">
        <w:rPr>
          <w:rStyle w:val="Emphasis"/>
          <w:rFonts w:asciiTheme="majorBidi" w:hAnsiTheme="majorBidi"/>
          <w:i w:val="0"/>
          <w:iCs w:val="0"/>
        </w:rPr>
        <w:t xml:space="preserve">xperimental research on trade in </w:t>
      </w:r>
      <w:r w:rsidRPr="00CB6466">
        <w:rPr>
          <w:rStyle w:val="Emphasis"/>
          <w:rFonts w:asciiTheme="majorBidi" w:hAnsiTheme="majorBidi"/>
          <w:i w:val="0"/>
          <w:iCs w:val="0"/>
        </w:rPr>
        <w:lastRenderedPageBreak/>
        <w:t xml:space="preserve">services has however been </w:t>
      </w:r>
      <w:r>
        <w:rPr>
          <w:rStyle w:val="Emphasis"/>
          <w:rFonts w:asciiTheme="majorBidi" w:hAnsiTheme="majorBidi"/>
          <w:i w:val="0"/>
          <w:iCs w:val="0"/>
        </w:rPr>
        <w:t xml:space="preserve">quite limited, not least due to </w:t>
      </w:r>
      <w:r w:rsidRPr="00CB6466">
        <w:rPr>
          <w:rStyle w:val="Emphasis"/>
          <w:rFonts w:asciiTheme="majorBidi" w:hAnsiTheme="majorBidi"/>
          <w:i w:val="0"/>
          <w:iCs w:val="0"/>
        </w:rPr>
        <w:t>the lack of availab</w:t>
      </w:r>
      <w:r>
        <w:rPr>
          <w:rStyle w:val="Emphasis"/>
          <w:rFonts w:asciiTheme="majorBidi" w:hAnsiTheme="majorBidi"/>
          <w:i w:val="0"/>
          <w:iCs w:val="0"/>
        </w:rPr>
        <w:t>ility and poor quality of data.</w:t>
      </w:r>
    </w:p>
    <w:p w:rsidR="00592824" w:rsidRDefault="00592824" w:rsidP="00592824">
      <w:pPr>
        <w:bidi w:val="0"/>
        <w:spacing w:after="0" w:line="360" w:lineRule="auto"/>
        <w:ind w:firstLine="142"/>
        <w:jc w:val="both"/>
        <w:rPr>
          <w:rStyle w:val="Emphasis"/>
          <w:rFonts w:asciiTheme="majorBidi" w:hAnsiTheme="majorBidi"/>
          <w:i w:val="0"/>
          <w:iCs w:val="0"/>
        </w:rPr>
      </w:pPr>
    </w:p>
    <w:p w:rsidR="00592824" w:rsidRPr="00DB5090" w:rsidRDefault="00592824" w:rsidP="00592824">
      <w:pPr>
        <w:bidi w:val="0"/>
        <w:spacing w:after="0" w:line="360" w:lineRule="auto"/>
        <w:jc w:val="both"/>
        <w:rPr>
          <w:rStyle w:val="Emphasis"/>
          <w:rFonts w:asciiTheme="majorBidi" w:hAnsiTheme="majorBidi"/>
          <w:i w:val="0"/>
          <w:iCs w:val="0"/>
        </w:rPr>
      </w:pPr>
      <w:r>
        <w:rPr>
          <w:rStyle w:val="Emphasis"/>
          <w:rFonts w:asciiTheme="majorBidi" w:hAnsiTheme="majorBidi"/>
          <w:i w:val="0"/>
          <w:iCs w:val="0"/>
        </w:rPr>
        <w:t xml:space="preserve">   A study conducted </w:t>
      </w:r>
      <w:r w:rsidRPr="00DB5090">
        <w:rPr>
          <w:rStyle w:val="Emphasis"/>
          <w:rFonts w:asciiTheme="majorBidi" w:hAnsiTheme="majorBidi"/>
          <w:i w:val="0"/>
          <w:iCs w:val="0"/>
        </w:rPr>
        <w:t>by Chang et al. (1999)</w:t>
      </w:r>
      <w:r w:rsidRPr="00CB6466">
        <w:rPr>
          <w:rStyle w:val="Emphasis"/>
          <w:rFonts w:asciiTheme="majorBidi" w:hAnsiTheme="majorBidi"/>
          <w:i w:val="0"/>
          <w:iCs w:val="0"/>
        </w:rPr>
        <w:t xml:space="preserve"> estimated disaggregated data on trade in services for the world</w:t>
      </w:r>
      <w:r>
        <w:rPr>
          <w:rStyle w:val="Emphasis"/>
          <w:rFonts w:asciiTheme="majorBidi" w:hAnsiTheme="majorBidi"/>
          <w:i w:val="0"/>
          <w:iCs w:val="0"/>
        </w:rPr>
        <w:t xml:space="preserve"> as a whole</w:t>
      </w:r>
      <w:r w:rsidRPr="00CB6466">
        <w:rPr>
          <w:rStyle w:val="Emphasis"/>
          <w:rFonts w:asciiTheme="majorBidi" w:hAnsiTheme="majorBidi"/>
          <w:i w:val="0"/>
          <w:iCs w:val="0"/>
        </w:rPr>
        <w:t xml:space="preserve"> and described</w:t>
      </w:r>
      <w:r>
        <w:rPr>
          <w:rStyle w:val="Emphasis"/>
          <w:rFonts w:asciiTheme="majorBidi" w:hAnsiTheme="majorBidi"/>
          <w:i w:val="0"/>
          <w:iCs w:val="0"/>
        </w:rPr>
        <w:t xml:space="preserve"> the</w:t>
      </w:r>
      <w:r w:rsidRPr="00CB6466">
        <w:rPr>
          <w:rStyle w:val="Emphasis"/>
          <w:rFonts w:asciiTheme="majorBidi" w:hAnsiTheme="majorBidi"/>
          <w:i w:val="0"/>
          <w:iCs w:val="0"/>
        </w:rPr>
        <w:t xml:space="preserve"> countries’ specialization in various service sectors. Other studies </w:t>
      </w:r>
      <w:r w:rsidRPr="00DB5090">
        <w:rPr>
          <w:rStyle w:val="Emphasis"/>
          <w:rFonts w:asciiTheme="majorBidi" w:hAnsiTheme="majorBidi"/>
          <w:i w:val="0"/>
          <w:iCs w:val="0"/>
        </w:rPr>
        <w:t>(</w:t>
      </w:r>
      <w:proofErr w:type="spellStart"/>
      <w:r w:rsidRPr="00DB5090">
        <w:rPr>
          <w:rStyle w:val="Emphasis"/>
          <w:rFonts w:asciiTheme="majorBidi" w:hAnsiTheme="majorBidi"/>
          <w:i w:val="0"/>
          <w:iCs w:val="0"/>
        </w:rPr>
        <w:t>Midelfart-Knarvik</w:t>
      </w:r>
      <w:proofErr w:type="spellEnd"/>
      <w:r w:rsidRPr="00DB5090">
        <w:rPr>
          <w:rStyle w:val="Emphasis"/>
          <w:rFonts w:asciiTheme="majorBidi" w:hAnsiTheme="majorBidi"/>
          <w:i w:val="0"/>
          <w:iCs w:val="0"/>
        </w:rPr>
        <w:t xml:space="preserve"> et al., 2000)</w:t>
      </w:r>
      <w:r w:rsidRPr="00CB6466">
        <w:rPr>
          <w:rStyle w:val="Emphasis"/>
          <w:rFonts w:asciiTheme="majorBidi" w:hAnsiTheme="majorBidi"/>
          <w:i w:val="0"/>
          <w:iCs w:val="0"/>
        </w:rPr>
        <w:t xml:space="preserve"> have used production and employment data to make inferences regarding the pattern of specialization so as to bypass limitations on trade data.</w:t>
      </w:r>
      <w:r>
        <w:rPr>
          <w:rStyle w:val="Emphasis"/>
          <w:rFonts w:asciiTheme="majorBidi" w:hAnsiTheme="majorBidi"/>
          <w:i w:val="0"/>
          <w:iCs w:val="0"/>
        </w:rPr>
        <w:t xml:space="preserve"> </w:t>
      </w:r>
      <w:r w:rsidRPr="0092253B">
        <w:rPr>
          <w:rFonts w:asciiTheme="majorBidi" w:hAnsiTheme="majorBidi"/>
          <w:iCs/>
          <w:lang w:bidi="ar-JO"/>
        </w:rPr>
        <w:t xml:space="preserve">Guardia, </w:t>
      </w:r>
      <w:proofErr w:type="spellStart"/>
      <w:r w:rsidRPr="0092253B">
        <w:rPr>
          <w:rFonts w:asciiTheme="majorBidi" w:hAnsiTheme="majorBidi"/>
          <w:iCs/>
          <w:lang w:bidi="ar-JO"/>
        </w:rPr>
        <w:t>Molero</w:t>
      </w:r>
      <w:proofErr w:type="spellEnd"/>
      <w:r w:rsidRPr="0092253B">
        <w:rPr>
          <w:rFonts w:asciiTheme="majorBidi" w:hAnsiTheme="majorBidi"/>
          <w:iCs/>
          <w:lang w:bidi="ar-JO"/>
        </w:rPr>
        <w:t xml:space="preserve">, &amp; </w:t>
      </w:r>
      <w:proofErr w:type="spellStart"/>
      <w:r w:rsidRPr="0092253B">
        <w:rPr>
          <w:rFonts w:asciiTheme="majorBidi" w:hAnsiTheme="majorBidi"/>
          <w:iCs/>
          <w:lang w:bidi="ar-JO"/>
        </w:rPr>
        <w:t>Valadez</w:t>
      </w:r>
      <w:r>
        <w:rPr>
          <w:rFonts w:asciiTheme="majorBidi" w:hAnsiTheme="majorBidi"/>
          <w:iCs/>
          <w:lang w:bidi="ar-JO"/>
        </w:rPr>
        <w:t>’s</w:t>
      </w:r>
      <w:proofErr w:type="spellEnd"/>
      <w:r w:rsidRPr="0092253B">
        <w:rPr>
          <w:rFonts w:asciiTheme="majorBidi" w:hAnsiTheme="majorBidi"/>
          <w:iCs/>
          <w:lang w:bidi="ar-JO"/>
        </w:rPr>
        <w:t xml:space="preserve"> </w:t>
      </w:r>
      <w:r w:rsidRPr="00DB5090">
        <w:rPr>
          <w:rStyle w:val="Emphasis"/>
          <w:rFonts w:asciiTheme="majorBidi" w:hAnsiTheme="majorBidi"/>
          <w:i w:val="0"/>
          <w:iCs w:val="0"/>
        </w:rPr>
        <w:t>(2005)</w:t>
      </w:r>
      <w:r>
        <w:rPr>
          <w:rStyle w:val="Emphasis"/>
          <w:rFonts w:asciiTheme="majorBidi" w:hAnsiTheme="majorBidi"/>
          <w:i w:val="0"/>
          <w:iCs w:val="0"/>
        </w:rPr>
        <w:t xml:space="preserve"> study shows that the competitiveness of a number of European countries in three service categories and it classifies the countries examined into four categories as outlined in the UNO and World Bank's competitiveness matrix. They also employ a </w:t>
      </w:r>
      <w:r w:rsidRPr="00DB5090">
        <w:rPr>
          <w:rStyle w:val="Emphasis"/>
          <w:rFonts w:asciiTheme="majorBidi" w:hAnsiTheme="majorBidi"/>
          <w:i w:val="0"/>
          <w:iCs w:val="0"/>
        </w:rPr>
        <w:t>factor analysis that investigates the main contributors to changes in the competitiveness positions in these countries.</w:t>
      </w:r>
    </w:p>
    <w:p w:rsidR="00592824" w:rsidRPr="00DB5090" w:rsidRDefault="00592824" w:rsidP="00592824">
      <w:pPr>
        <w:bidi w:val="0"/>
        <w:spacing w:after="0" w:line="360" w:lineRule="auto"/>
        <w:ind w:firstLine="142"/>
        <w:jc w:val="both"/>
        <w:rPr>
          <w:rFonts w:asciiTheme="majorBidi" w:hAnsiTheme="majorBidi"/>
        </w:rPr>
      </w:pPr>
      <w:r w:rsidRPr="00DB5090">
        <w:rPr>
          <w:rStyle w:val="Emphasis"/>
          <w:rFonts w:asciiTheme="majorBidi" w:hAnsiTheme="majorBidi"/>
          <w:i w:val="0"/>
          <w:iCs w:val="0"/>
        </w:rPr>
        <w:t xml:space="preserve">Existing descriptive data and econometric evidence implies that MENA’s trade volumes are below its potential. Bhattacharya &amp; </w:t>
      </w:r>
      <w:proofErr w:type="spellStart"/>
      <w:r w:rsidRPr="00DB5090">
        <w:rPr>
          <w:rStyle w:val="Emphasis"/>
          <w:rFonts w:asciiTheme="majorBidi" w:hAnsiTheme="majorBidi"/>
          <w:i w:val="0"/>
          <w:iCs w:val="0"/>
        </w:rPr>
        <w:t>Wolde</w:t>
      </w:r>
      <w:proofErr w:type="spellEnd"/>
      <w:r w:rsidRPr="00DB5090">
        <w:rPr>
          <w:rStyle w:val="Emphasis"/>
          <w:rFonts w:asciiTheme="majorBidi" w:hAnsiTheme="majorBidi"/>
          <w:i w:val="0"/>
          <w:iCs w:val="0"/>
        </w:rPr>
        <w:t xml:space="preserve"> (2010) show the non-oil export-GDP ratio for MENA is below the world average over the period 1999-2008. Another study by Al-</w:t>
      </w:r>
      <w:proofErr w:type="spellStart"/>
      <w:r w:rsidRPr="00DB5090">
        <w:rPr>
          <w:rStyle w:val="Emphasis"/>
          <w:rFonts w:asciiTheme="majorBidi" w:hAnsiTheme="majorBidi"/>
          <w:i w:val="0"/>
          <w:iCs w:val="0"/>
        </w:rPr>
        <w:t>Atrash</w:t>
      </w:r>
      <w:proofErr w:type="spellEnd"/>
      <w:r w:rsidRPr="00DB5090">
        <w:rPr>
          <w:rStyle w:val="Emphasis"/>
          <w:rFonts w:asciiTheme="majorBidi" w:hAnsiTheme="majorBidi"/>
          <w:i w:val="0"/>
          <w:iCs w:val="0"/>
        </w:rPr>
        <w:t xml:space="preserve"> &amp; </w:t>
      </w:r>
      <w:proofErr w:type="spellStart"/>
      <w:r w:rsidRPr="00DB5090">
        <w:rPr>
          <w:rStyle w:val="Emphasis"/>
          <w:rFonts w:asciiTheme="majorBidi" w:hAnsiTheme="majorBidi"/>
          <w:i w:val="0"/>
          <w:iCs w:val="0"/>
        </w:rPr>
        <w:t>Yousef</w:t>
      </w:r>
      <w:proofErr w:type="spellEnd"/>
      <w:r w:rsidRPr="00DB5090">
        <w:rPr>
          <w:rStyle w:val="Emphasis"/>
          <w:rFonts w:asciiTheme="majorBidi" w:hAnsiTheme="majorBidi"/>
          <w:i w:val="0"/>
          <w:iCs w:val="0"/>
        </w:rPr>
        <w:t xml:space="preserve"> (2000) uses a cross-sectional dataset to estimate that intra-Arab trade is too low, as is Arab trade with the rest of the world. </w:t>
      </w:r>
      <w:proofErr w:type="spellStart"/>
      <w:r w:rsidRPr="00DB5090">
        <w:rPr>
          <w:rStyle w:val="Emphasis"/>
          <w:rFonts w:asciiTheme="majorBidi" w:hAnsiTheme="majorBidi"/>
          <w:i w:val="0"/>
          <w:iCs w:val="0"/>
        </w:rPr>
        <w:t>Karam</w:t>
      </w:r>
      <w:proofErr w:type="spellEnd"/>
      <w:r w:rsidRPr="00DB5090">
        <w:rPr>
          <w:rStyle w:val="Emphasis"/>
          <w:rFonts w:asciiTheme="majorBidi" w:hAnsiTheme="majorBidi"/>
          <w:i w:val="0"/>
          <w:iCs w:val="0"/>
        </w:rPr>
        <w:t xml:space="preserve"> and </w:t>
      </w:r>
      <w:proofErr w:type="spellStart"/>
      <w:r w:rsidRPr="00DB5090">
        <w:rPr>
          <w:rStyle w:val="Emphasis"/>
          <w:rFonts w:asciiTheme="majorBidi" w:hAnsiTheme="majorBidi"/>
          <w:i w:val="0"/>
          <w:iCs w:val="0"/>
        </w:rPr>
        <w:t>Zaki</w:t>
      </w:r>
      <w:proofErr w:type="spellEnd"/>
      <w:r w:rsidRPr="00DB5090">
        <w:rPr>
          <w:rStyle w:val="Emphasis"/>
          <w:rFonts w:asciiTheme="majorBidi" w:hAnsiTheme="majorBidi"/>
          <w:i w:val="0"/>
          <w:iCs w:val="0"/>
        </w:rPr>
        <w:t xml:space="preserve"> (2011) </w:t>
      </w:r>
      <w:r w:rsidRPr="00DB5090">
        <w:rPr>
          <w:rFonts w:asciiTheme="majorBidi" w:hAnsiTheme="majorBidi"/>
        </w:rPr>
        <w:t>examine the determinants of aggregate flows of service trade in MENA countries using an adapted version of the gravity model and a panel dataset covering the period from 2000 to 2009 including 21 countries and 10 sectors. A new determinant of trade performance is introduced: the number of commitments undertaken by a sector in the WTO as well as the availability of those commitments by mode.</w:t>
      </w:r>
      <w:r w:rsidRPr="00DB5090">
        <w:rPr>
          <w:rStyle w:val="Emphasis"/>
          <w:rFonts w:asciiTheme="majorBidi" w:hAnsiTheme="majorBidi"/>
        </w:rPr>
        <w:t xml:space="preserve"> </w:t>
      </w:r>
      <w:r w:rsidRPr="00DB5090">
        <w:rPr>
          <w:rStyle w:val="Emphasis"/>
          <w:rFonts w:asciiTheme="majorBidi" w:hAnsiTheme="majorBidi"/>
          <w:i w:val="0"/>
          <w:iCs w:val="0"/>
        </w:rPr>
        <w:t>Behar and Freund (2011)</w:t>
      </w:r>
      <w:r w:rsidRPr="00DB5090">
        <w:rPr>
          <w:rStyle w:val="Emphasis"/>
          <w:rFonts w:asciiTheme="majorBidi" w:hAnsiTheme="majorBidi"/>
        </w:rPr>
        <w:t xml:space="preserve"> </w:t>
      </w:r>
      <w:r w:rsidRPr="00DB5090">
        <w:rPr>
          <w:rFonts w:asciiTheme="majorBidi" w:hAnsiTheme="majorBidi"/>
        </w:rPr>
        <w:t>characterize the trade performance of the MENA region over the past 15 years. Cross-section results show that MENA’s exports to the outside world were only one third of their potential in recent years, showing that even though MENA’s exports have been expanding more rapidly than exports from the rest of the world, it would still take 20 years for MENA countries to reach potential trade. Excluding natural resources, exports also represent only one third of the benchmark, but the improved export performance over a period of time is much slower and implies that it could take twice as long to reach potential. Furthermore, while MENA also under-trades within the region, the extent of under-trading is less acute than with the outside world.</w:t>
      </w:r>
    </w:p>
    <w:p w:rsidR="00592824" w:rsidRPr="00DB5090" w:rsidRDefault="00592824" w:rsidP="00592824">
      <w:pPr>
        <w:bidi w:val="0"/>
        <w:spacing w:after="0" w:line="360" w:lineRule="auto"/>
        <w:ind w:firstLine="142"/>
        <w:jc w:val="both"/>
        <w:rPr>
          <w:rStyle w:val="Emphasis"/>
          <w:rFonts w:asciiTheme="majorBidi" w:hAnsiTheme="majorBidi"/>
        </w:rPr>
      </w:pPr>
    </w:p>
    <w:p w:rsidR="00592824" w:rsidRPr="00DB5090" w:rsidRDefault="00592824" w:rsidP="00592824">
      <w:pPr>
        <w:bidi w:val="0"/>
        <w:spacing w:after="0" w:line="360" w:lineRule="auto"/>
        <w:ind w:firstLine="142"/>
        <w:jc w:val="both"/>
        <w:rPr>
          <w:rStyle w:val="Emphasis"/>
          <w:rFonts w:asciiTheme="majorBidi" w:hAnsiTheme="majorBidi"/>
          <w:i w:val="0"/>
          <w:iCs w:val="0"/>
        </w:rPr>
      </w:pPr>
      <w:r w:rsidRPr="00DB5090">
        <w:rPr>
          <w:rStyle w:val="Emphasis"/>
          <w:rFonts w:asciiTheme="majorBidi" w:hAnsiTheme="majorBidi"/>
          <w:i w:val="0"/>
          <w:iCs w:val="0"/>
        </w:rPr>
        <w:lastRenderedPageBreak/>
        <w:t xml:space="preserve">A related and sometimes overlapping literature examines specific trade agreements within MENA or between MENA and other countries. For example, </w:t>
      </w:r>
      <w:proofErr w:type="spellStart"/>
      <w:r w:rsidRPr="00DB5090">
        <w:rPr>
          <w:rStyle w:val="Emphasis"/>
          <w:rFonts w:asciiTheme="majorBidi" w:hAnsiTheme="majorBidi"/>
          <w:i w:val="0"/>
          <w:iCs w:val="0"/>
        </w:rPr>
        <w:t>Cieslik</w:t>
      </w:r>
      <w:proofErr w:type="spellEnd"/>
      <w:r w:rsidRPr="00DB5090">
        <w:rPr>
          <w:rStyle w:val="Emphasis"/>
          <w:rFonts w:asciiTheme="majorBidi" w:hAnsiTheme="majorBidi"/>
          <w:i w:val="0"/>
          <w:iCs w:val="0"/>
        </w:rPr>
        <w:t xml:space="preserve"> &amp; </w:t>
      </w:r>
      <w:proofErr w:type="spellStart"/>
      <w:r w:rsidRPr="00DB5090">
        <w:rPr>
          <w:rStyle w:val="Emphasis"/>
          <w:rFonts w:asciiTheme="majorBidi" w:hAnsiTheme="majorBidi"/>
          <w:i w:val="0"/>
          <w:iCs w:val="0"/>
        </w:rPr>
        <w:t>Hagemejer</w:t>
      </w:r>
      <w:proofErr w:type="spellEnd"/>
      <w:r w:rsidRPr="00DB5090">
        <w:rPr>
          <w:rStyle w:val="Emphasis"/>
          <w:rFonts w:asciiTheme="majorBidi" w:hAnsiTheme="majorBidi"/>
          <w:i w:val="0"/>
          <w:iCs w:val="0"/>
        </w:rPr>
        <w:t xml:space="preserve"> (2009) find that MENA-EU deals increased MENA imports from Europe but not MENA exports to the continent. Nugent (2002) discusses why the percentage of the trade in the MENA countries is so low by investigating a number of trade agreements within the region. In most cases, the agreements did not appear to increase trade over the period of 1970-1997.</w:t>
      </w:r>
    </w:p>
    <w:p w:rsidR="00592824" w:rsidRPr="00DB5090" w:rsidRDefault="00592824" w:rsidP="00592824">
      <w:pPr>
        <w:bidi w:val="0"/>
        <w:spacing w:after="0" w:line="360" w:lineRule="auto"/>
        <w:ind w:firstLine="142"/>
        <w:jc w:val="both"/>
        <w:rPr>
          <w:rStyle w:val="Emphasis"/>
          <w:rFonts w:asciiTheme="majorBidi" w:hAnsiTheme="majorBidi"/>
          <w:i w:val="0"/>
          <w:iCs w:val="0"/>
          <w:sz w:val="28"/>
          <w:szCs w:val="28"/>
        </w:rPr>
      </w:pPr>
      <w:r w:rsidRPr="00DB5090">
        <w:rPr>
          <w:rStyle w:val="Emphasis"/>
          <w:rFonts w:asciiTheme="majorBidi" w:hAnsiTheme="majorBidi"/>
          <w:i w:val="0"/>
          <w:iCs w:val="0"/>
        </w:rPr>
        <w:t xml:space="preserve">Most of the recent literature on intra-industry trade (IIT) does not focus on the MENA region. The most comprehensive and recent study was conducted by </w:t>
      </w:r>
      <w:proofErr w:type="spellStart"/>
      <w:r w:rsidRPr="00DB5090">
        <w:rPr>
          <w:rStyle w:val="Emphasis"/>
          <w:rFonts w:asciiTheme="majorBidi" w:hAnsiTheme="majorBidi"/>
          <w:i w:val="0"/>
          <w:iCs w:val="0"/>
        </w:rPr>
        <w:t>Brulhart</w:t>
      </w:r>
      <w:proofErr w:type="spellEnd"/>
      <w:r w:rsidRPr="00DB5090">
        <w:rPr>
          <w:rStyle w:val="Emphasis"/>
          <w:rFonts w:asciiTheme="majorBidi" w:hAnsiTheme="majorBidi"/>
          <w:i w:val="0"/>
          <w:iCs w:val="0"/>
        </w:rPr>
        <w:t xml:space="preserve"> (2009). The main conclusion of this study is that there is an upward trend in the share of trade that is referred to as an intra-industry. However, this trend is largely apparent in the high and middle income countries, with some low-income and those mainly are Asian countries, who also enjoying the phenomenon. A World Bank (2002) study which focused on Latin America concluded that the MENA was the only region to experience a decline in IIT.</w:t>
      </w:r>
    </w:p>
    <w:p w:rsidR="00592824" w:rsidRPr="00DB5090" w:rsidRDefault="00592824" w:rsidP="00592824">
      <w:pPr>
        <w:bidi w:val="0"/>
        <w:spacing w:line="360" w:lineRule="auto"/>
        <w:ind w:firstLine="142"/>
        <w:jc w:val="both"/>
        <w:rPr>
          <w:rFonts w:asciiTheme="majorBidi" w:hAnsiTheme="majorBidi"/>
        </w:rPr>
      </w:pPr>
      <w:r w:rsidRPr="00DB5090">
        <w:rPr>
          <w:rStyle w:val="Emphasis"/>
          <w:rFonts w:asciiTheme="majorBidi" w:hAnsiTheme="majorBidi"/>
          <w:i w:val="0"/>
          <w:iCs w:val="0"/>
        </w:rPr>
        <w:t xml:space="preserve">The results of this paper complement existing works in a number of ways. In terms of the MENA’s relative trade, most of the papers employ a single cross-section. While we still use a single cross section with slightly updated data, yet we also use a 1994 full panel for others. Furthermore, following recent developments in the gravity modeling literature, this paper is cautious with its use of fixed effects in the panel, which can be important for estimating and interpreting results. </w:t>
      </w:r>
      <w:proofErr w:type="gramStart"/>
      <w:r w:rsidRPr="00DB5090">
        <w:rPr>
          <w:rStyle w:val="Emphasis"/>
          <w:rFonts w:asciiTheme="majorBidi" w:hAnsiTheme="majorBidi"/>
          <w:i w:val="0"/>
          <w:iCs w:val="0"/>
        </w:rPr>
        <w:t>in</w:t>
      </w:r>
      <w:proofErr w:type="gramEnd"/>
      <w:r w:rsidRPr="00DB5090">
        <w:rPr>
          <w:rStyle w:val="Emphasis"/>
          <w:rFonts w:asciiTheme="majorBidi" w:hAnsiTheme="majorBidi"/>
          <w:i w:val="0"/>
          <w:iCs w:val="0"/>
        </w:rPr>
        <w:t xml:space="preserve"> addition, we have a dummy representing intra-MENA trade, and also two dummies for extra-MENA trade that separate MENA imports from MENA exports.</w:t>
      </w:r>
    </w:p>
    <w:p w:rsidR="00592824" w:rsidRPr="00C20CB1" w:rsidRDefault="00592824" w:rsidP="00592824">
      <w:pPr>
        <w:pStyle w:val="ListParagraph"/>
        <w:numPr>
          <w:ilvl w:val="1"/>
          <w:numId w:val="1"/>
        </w:numPr>
        <w:bidi w:val="0"/>
        <w:ind w:left="709"/>
        <w:outlineLvl w:val="1"/>
        <w:rPr>
          <w:rFonts w:asciiTheme="majorBidi" w:hAnsiTheme="majorBidi"/>
          <w:b/>
          <w:bCs/>
          <w:i/>
          <w:iCs/>
          <w:sz w:val="28"/>
          <w:szCs w:val="28"/>
          <w:lang w:bidi="ar-JO"/>
        </w:rPr>
      </w:pPr>
      <w:bookmarkStart w:id="7" w:name="_Toc316991752"/>
      <w:bookmarkStart w:id="8" w:name="_Toc316992245"/>
      <w:r w:rsidRPr="00C20CB1">
        <w:rPr>
          <w:rFonts w:asciiTheme="majorBidi" w:hAnsiTheme="majorBidi"/>
          <w:b/>
          <w:bCs/>
          <w:i/>
          <w:iCs/>
          <w:sz w:val="28"/>
          <w:szCs w:val="28"/>
          <w:lang w:bidi="ar-JO"/>
        </w:rPr>
        <w:t>Difficulties</w:t>
      </w:r>
      <w:bookmarkEnd w:id="7"/>
      <w:bookmarkEnd w:id="8"/>
    </w:p>
    <w:p w:rsidR="00592824" w:rsidRPr="00DB5090" w:rsidRDefault="00592824" w:rsidP="00592824">
      <w:pPr>
        <w:bidi w:val="0"/>
        <w:spacing w:line="360" w:lineRule="auto"/>
        <w:jc w:val="both"/>
        <w:rPr>
          <w:rStyle w:val="Emphasis"/>
          <w:rFonts w:asciiTheme="majorBidi" w:hAnsiTheme="majorBidi"/>
          <w:i w:val="0"/>
          <w:iCs w:val="0"/>
        </w:rPr>
      </w:pPr>
      <w:r w:rsidRPr="00DB5090">
        <w:rPr>
          <w:rStyle w:val="Emphasis"/>
          <w:rFonts w:asciiTheme="majorBidi" w:hAnsiTheme="majorBidi"/>
          <w:i w:val="0"/>
          <w:iCs w:val="0"/>
        </w:rPr>
        <w:t xml:space="preserve">When measuring the international competitiveness of a country or a sector of an economic activity, the difficulties tackled are much more complex (Guardia and </w:t>
      </w:r>
      <w:proofErr w:type="spellStart"/>
      <w:r w:rsidRPr="00DB5090">
        <w:rPr>
          <w:rStyle w:val="Emphasis"/>
          <w:rFonts w:asciiTheme="majorBidi" w:hAnsiTheme="majorBidi"/>
          <w:i w:val="0"/>
          <w:iCs w:val="0"/>
        </w:rPr>
        <w:t>Molero</w:t>
      </w:r>
      <w:proofErr w:type="spellEnd"/>
      <w:r w:rsidRPr="00DB5090">
        <w:rPr>
          <w:rStyle w:val="Emphasis"/>
          <w:rFonts w:asciiTheme="majorBidi" w:hAnsiTheme="majorBidi"/>
          <w:i w:val="0"/>
          <w:iCs w:val="0"/>
        </w:rPr>
        <w:t>, 2003). For instance, instability of exchange rates limits our ability to compare between countries, especially when attempting to convert the variables normally used to a common unit of account. Despite this, the effective real exchange rate is considered a proper method used more frequently to measure the degree of international competitiveness.</w:t>
      </w:r>
    </w:p>
    <w:p w:rsidR="00592824" w:rsidRPr="00DB5090" w:rsidRDefault="00592824" w:rsidP="00592824">
      <w:pPr>
        <w:bidi w:val="0"/>
        <w:spacing w:line="360" w:lineRule="auto"/>
        <w:jc w:val="both"/>
        <w:rPr>
          <w:rStyle w:val="Emphasis"/>
          <w:rFonts w:asciiTheme="majorBidi" w:hAnsiTheme="majorBidi"/>
          <w:i w:val="0"/>
          <w:iCs w:val="0"/>
        </w:rPr>
      </w:pPr>
      <w:r w:rsidRPr="00DB5090">
        <w:rPr>
          <w:rStyle w:val="Emphasis"/>
          <w:rFonts w:asciiTheme="majorBidi" w:hAnsiTheme="majorBidi"/>
          <w:i w:val="0"/>
          <w:iCs w:val="0"/>
        </w:rPr>
        <w:lastRenderedPageBreak/>
        <w:t>In addition, competitiveness is not only defined by productivity evolution, but technology, infrastructures, innovation, transnational companies' strategies, and public policy's nature are all considered to be different factors that have an influence on any sector of economic activity in the international markets. Furthermore, gains and losses of competitiveness have also been related to the degree of openness of the economy, the size of the public sector, and the level of education of the general population. Consequently, synergies existing between all those elements highly support the competitive positions of different economies. Therefore, the ability to capture the main influences on competitiveness on a macro level becomes cumbersome and runs through many hurdles, thus requiring several necessary adjustments.</w:t>
      </w:r>
    </w:p>
    <w:p w:rsidR="00592824" w:rsidRPr="00DB5090" w:rsidRDefault="00592824" w:rsidP="00592824">
      <w:pPr>
        <w:pStyle w:val="ListParagraph"/>
        <w:numPr>
          <w:ilvl w:val="1"/>
          <w:numId w:val="1"/>
        </w:numPr>
        <w:bidi w:val="0"/>
        <w:ind w:left="709"/>
        <w:outlineLvl w:val="1"/>
        <w:rPr>
          <w:rFonts w:asciiTheme="majorBidi" w:hAnsiTheme="majorBidi"/>
          <w:b/>
          <w:bCs/>
          <w:i/>
          <w:iCs/>
          <w:sz w:val="28"/>
          <w:szCs w:val="28"/>
          <w:lang w:bidi="ar-JO"/>
        </w:rPr>
      </w:pPr>
      <w:bookmarkStart w:id="9" w:name="_Toc316991753"/>
      <w:bookmarkStart w:id="10" w:name="_Toc316992246"/>
      <w:r w:rsidRPr="00DB5090">
        <w:rPr>
          <w:rFonts w:asciiTheme="majorBidi" w:hAnsiTheme="majorBidi"/>
          <w:b/>
          <w:bCs/>
          <w:i/>
          <w:iCs/>
          <w:sz w:val="28"/>
          <w:szCs w:val="28"/>
          <w:lang w:bidi="ar-JO"/>
        </w:rPr>
        <w:t>The International Competitiveness Matrix</w:t>
      </w:r>
      <w:bookmarkEnd w:id="9"/>
      <w:bookmarkEnd w:id="10"/>
    </w:p>
    <w:p w:rsidR="00592824" w:rsidRPr="00DB5090" w:rsidRDefault="00592824" w:rsidP="00592824">
      <w:pPr>
        <w:bidi w:val="0"/>
        <w:spacing w:line="360" w:lineRule="auto"/>
        <w:jc w:val="both"/>
        <w:rPr>
          <w:rStyle w:val="Emphasis"/>
          <w:rFonts w:asciiTheme="majorBidi" w:hAnsiTheme="majorBidi"/>
          <w:i w:val="0"/>
          <w:iCs w:val="0"/>
        </w:rPr>
      </w:pPr>
      <w:r w:rsidRPr="00DB5090">
        <w:rPr>
          <w:rStyle w:val="Emphasis"/>
          <w:rFonts w:asciiTheme="majorBidi" w:hAnsiTheme="majorBidi"/>
          <w:i w:val="0"/>
          <w:iCs w:val="0"/>
        </w:rPr>
        <w:t xml:space="preserve">During the 1990s, competitiveness of the industrial sector gained importance by the emergence of a new alternative created to measure it. In the early years of the 90s, the United Nations published the "Competitive Analysis of Nations", referring to the period between 1977 and 1993. The origins of this new approach is based on a unique equation that analyzes both the constant participation in the market and the planning of portfolio strategies in participating companies, in order to compare the changes in the competitive situation. </w:t>
      </w:r>
    </w:p>
    <w:p w:rsidR="00592824" w:rsidRPr="00DB5090" w:rsidRDefault="00592824" w:rsidP="00592824">
      <w:pPr>
        <w:bidi w:val="0"/>
        <w:spacing w:line="360" w:lineRule="auto"/>
        <w:jc w:val="both"/>
        <w:rPr>
          <w:rStyle w:val="Emphasis"/>
          <w:rFonts w:asciiTheme="majorBidi" w:hAnsiTheme="majorBidi"/>
          <w:i w:val="0"/>
          <w:iCs w:val="0"/>
        </w:rPr>
      </w:pPr>
      <w:r w:rsidRPr="00DB5090">
        <w:rPr>
          <w:rStyle w:val="Emphasis"/>
          <w:rFonts w:asciiTheme="majorBidi" w:hAnsiTheme="majorBidi"/>
          <w:i w:val="0"/>
          <w:iCs w:val="0"/>
        </w:rPr>
        <w:t xml:space="preserve">By this rationale, the measurement of international competitiveness is based on the idea that an economy improves its degree of competitiveness by enhancing the size of its exports; reversely, increasing the size of imports dictates a decline in competitiveness. Moreover, the process of insertion of a country into the international economy is a phenomenon not only related to the exporting progresses of the analyzed economy, but also linked to the behavior and actions of other competitors. As a result, we introduce the aspect of the dynamic nature of the markets. </w:t>
      </w:r>
    </w:p>
    <w:p w:rsidR="00592824" w:rsidRPr="00C20CB1" w:rsidRDefault="00592824" w:rsidP="00592824">
      <w:pPr>
        <w:bidi w:val="0"/>
        <w:spacing w:line="360" w:lineRule="auto"/>
        <w:jc w:val="both"/>
        <w:rPr>
          <w:rStyle w:val="Emphasis"/>
          <w:rFonts w:asciiTheme="majorBidi" w:hAnsiTheme="majorBidi"/>
          <w:i w:val="0"/>
          <w:iCs w:val="0"/>
        </w:rPr>
      </w:pPr>
      <w:r w:rsidRPr="00DB5090">
        <w:rPr>
          <w:rStyle w:val="Emphasis"/>
          <w:rFonts w:asciiTheme="majorBidi" w:hAnsiTheme="majorBidi"/>
          <w:i w:val="0"/>
          <w:iCs w:val="0"/>
        </w:rPr>
        <w:t>With this approach, an ex—post assessment of competitiveness is implemented. Only a descriptive reference to changes in the forms</w:t>
      </w:r>
      <w:r>
        <w:rPr>
          <w:rStyle w:val="Emphasis"/>
          <w:rFonts w:asciiTheme="majorBidi" w:hAnsiTheme="majorBidi"/>
          <w:i w:val="0"/>
          <w:iCs w:val="0"/>
        </w:rPr>
        <w:t xml:space="preserve"> of competitiveness </w:t>
      </w:r>
      <w:r w:rsidRPr="00C20CB1">
        <w:rPr>
          <w:rStyle w:val="Emphasis"/>
          <w:rFonts w:asciiTheme="majorBidi" w:hAnsiTheme="majorBidi"/>
          <w:i w:val="0"/>
          <w:iCs w:val="0"/>
        </w:rPr>
        <w:t>and specialization in internatio</w:t>
      </w:r>
      <w:r>
        <w:rPr>
          <w:rStyle w:val="Emphasis"/>
          <w:rFonts w:asciiTheme="majorBidi" w:hAnsiTheme="majorBidi"/>
          <w:i w:val="0"/>
          <w:iCs w:val="0"/>
        </w:rPr>
        <w:t>nal trade is provided. In principal</w:t>
      </w:r>
      <w:r w:rsidRPr="00C20CB1">
        <w:rPr>
          <w:rStyle w:val="Emphasis"/>
          <w:rFonts w:asciiTheme="majorBidi" w:hAnsiTheme="majorBidi"/>
          <w:i w:val="0"/>
          <w:iCs w:val="0"/>
        </w:rPr>
        <w:t xml:space="preserve">, the commercial advantages and disadvantages are </w:t>
      </w:r>
      <w:r>
        <w:rPr>
          <w:rStyle w:val="Emphasis"/>
          <w:rFonts w:asciiTheme="majorBidi" w:hAnsiTheme="majorBidi"/>
          <w:i w:val="0"/>
          <w:iCs w:val="0"/>
        </w:rPr>
        <w:t>derived from the actual results of international trade</w:t>
      </w:r>
      <w:r w:rsidRPr="00C20CB1">
        <w:rPr>
          <w:rStyle w:val="Emphasis"/>
          <w:rFonts w:asciiTheme="majorBidi" w:hAnsiTheme="majorBidi"/>
          <w:i w:val="0"/>
          <w:iCs w:val="0"/>
        </w:rPr>
        <w:t xml:space="preserve">.  The </w:t>
      </w:r>
      <w:r>
        <w:rPr>
          <w:rStyle w:val="Emphasis"/>
          <w:rFonts w:asciiTheme="majorBidi" w:hAnsiTheme="majorBidi"/>
          <w:i w:val="0"/>
          <w:iCs w:val="0"/>
        </w:rPr>
        <w:t>commercial advantage is represented by the evolution of exports (reflecting</w:t>
      </w:r>
      <w:r w:rsidRPr="00C20CB1">
        <w:rPr>
          <w:rStyle w:val="Emphasis"/>
          <w:rFonts w:asciiTheme="majorBidi" w:hAnsiTheme="majorBidi"/>
          <w:i w:val="0"/>
          <w:iCs w:val="0"/>
        </w:rPr>
        <w:t xml:space="preserve"> improvements in</w:t>
      </w:r>
      <w:r>
        <w:rPr>
          <w:rStyle w:val="Emphasis"/>
          <w:rFonts w:asciiTheme="majorBidi" w:hAnsiTheme="majorBidi"/>
          <w:i w:val="0"/>
          <w:iCs w:val="0"/>
        </w:rPr>
        <w:t xml:space="preserve"> competitiveness), and by</w:t>
      </w:r>
      <w:r w:rsidRPr="00C20CB1">
        <w:rPr>
          <w:rStyle w:val="Emphasis"/>
          <w:rFonts w:asciiTheme="majorBidi" w:hAnsiTheme="majorBidi"/>
          <w:i w:val="0"/>
          <w:iCs w:val="0"/>
        </w:rPr>
        <w:t xml:space="preserve"> the evolution of imports </w:t>
      </w:r>
      <w:r>
        <w:rPr>
          <w:rStyle w:val="Emphasis"/>
          <w:rFonts w:asciiTheme="majorBidi" w:hAnsiTheme="majorBidi"/>
          <w:i w:val="0"/>
          <w:iCs w:val="0"/>
        </w:rPr>
        <w:t>(</w:t>
      </w:r>
      <w:r w:rsidRPr="00C20CB1">
        <w:rPr>
          <w:rStyle w:val="Emphasis"/>
          <w:rFonts w:asciiTheme="majorBidi" w:hAnsiTheme="majorBidi"/>
          <w:i w:val="0"/>
          <w:iCs w:val="0"/>
        </w:rPr>
        <w:t>wh</w:t>
      </w:r>
      <w:r>
        <w:rPr>
          <w:rStyle w:val="Emphasis"/>
          <w:rFonts w:asciiTheme="majorBidi" w:hAnsiTheme="majorBidi"/>
          <w:i w:val="0"/>
          <w:iCs w:val="0"/>
        </w:rPr>
        <w:t>ich reflects losses in</w:t>
      </w:r>
      <w:r w:rsidRPr="00C20CB1">
        <w:rPr>
          <w:rStyle w:val="Emphasis"/>
          <w:rFonts w:asciiTheme="majorBidi" w:hAnsiTheme="majorBidi"/>
          <w:i w:val="0"/>
          <w:iCs w:val="0"/>
        </w:rPr>
        <w:t xml:space="preserve"> </w:t>
      </w:r>
      <w:r>
        <w:rPr>
          <w:rStyle w:val="Emphasis"/>
          <w:rFonts w:asciiTheme="majorBidi" w:hAnsiTheme="majorBidi"/>
          <w:i w:val="0"/>
          <w:iCs w:val="0"/>
        </w:rPr>
        <w:t>competitiveness)</w:t>
      </w:r>
      <w:r w:rsidRPr="00C20CB1">
        <w:rPr>
          <w:rStyle w:val="Emphasis"/>
          <w:rFonts w:asciiTheme="majorBidi" w:hAnsiTheme="majorBidi"/>
          <w:i w:val="0"/>
          <w:iCs w:val="0"/>
        </w:rPr>
        <w:t>.</w:t>
      </w:r>
    </w:p>
    <w:p w:rsidR="00592824" w:rsidRDefault="00592824" w:rsidP="00592824">
      <w:pPr>
        <w:pStyle w:val="ListParagraph"/>
        <w:bidi w:val="0"/>
        <w:ind w:left="709"/>
        <w:outlineLvl w:val="1"/>
        <w:rPr>
          <w:rFonts w:asciiTheme="majorBidi" w:hAnsiTheme="majorBidi"/>
          <w:b/>
          <w:bCs/>
          <w:i/>
          <w:iCs/>
          <w:sz w:val="28"/>
          <w:szCs w:val="28"/>
          <w:lang w:bidi="ar-JO"/>
        </w:rPr>
      </w:pPr>
      <w:bookmarkStart w:id="11" w:name="_Toc316991754"/>
      <w:bookmarkStart w:id="12" w:name="_Toc316992247"/>
    </w:p>
    <w:p w:rsidR="00592824" w:rsidRDefault="00592824" w:rsidP="00592824">
      <w:pPr>
        <w:pStyle w:val="ListParagraph"/>
        <w:bidi w:val="0"/>
        <w:ind w:left="709"/>
        <w:outlineLvl w:val="1"/>
        <w:rPr>
          <w:rFonts w:asciiTheme="majorBidi" w:hAnsiTheme="majorBidi"/>
          <w:b/>
          <w:bCs/>
          <w:i/>
          <w:iCs/>
          <w:sz w:val="28"/>
          <w:szCs w:val="28"/>
          <w:lang w:bidi="ar-JO"/>
        </w:rPr>
      </w:pPr>
    </w:p>
    <w:p w:rsidR="00592824" w:rsidRDefault="00592824" w:rsidP="00592824">
      <w:pPr>
        <w:pStyle w:val="ListParagraph"/>
        <w:bidi w:val="0"/>
        <w:ind w:left="709"/>
        <w:outlineLvl w:val="1"/>
        <w:rPr>
          <w:rFonts w:asciiTheme="majorBidi" w:hAnsiTheme="majorBidi"/>
          <w:b/>
          <w:bCs/>
          <w:i/>
          <w:iCs/>
          <w:sz w:val="28"/>
          <w:szCs w:val="28"/>
          <w:lang w:bidi="ar-JO"/>
        </w:rPr>
      </w:pPr>
    </w:p>
    <w:p w:rsidR="00592824" w:rsidRDefault="00592824" w:rsidP="00592824">
      <w:pPr>
        <w:pStyle w:val="ListParagraph"/>
        <w:numPr>
          <w:ilvl w:val="1"/>
          <w:numId w:val="1"/>
        </w:numPr>
        <w:bidi w:val="0"/>
        <w:ind w:left="709"/>
        <w:outlineLvl w:val="1"/>
        <w:rPr>
          <w:rFonts w:asciiTheme="majorBidi" w:hAnsiTheme="majorBidi"/>
          <w:b/>
          <w:bCs/>
          <w:i/>
          <w:iCs/>
          <w:sz w:val="28"/>
          <w:szCs w:val="28"/>
          <w:lang w:bidi="ar-JO"/>
        </w:rPr>
      </w:pPr>
      <w:r w:rsidRPr="00ED6CD2">
        <w:rPr>
          <w:rFonts w:asciiTheme="majorBidi" w:hAnsiTheme="majorBidi"/>
          <w:b/>
          <w:bCs/>
          <w:i/>
          <w:iCs/>
          <w:sz w:val="28"/>
          <w:szCs w:val="28"/>
          <w:lang w:bidi="ar-JO"/>
        </w:rPr>
        <w:t>The Gravity Model</w:t>
      </w:r>
      <w:bookmarkEnd w:id="11"/>
      <w:bookmarkEnd w:id="12"/>
    </w:p>
    <w:p w:rsidR="00592824" w:rsidRPr="00DA5948" w:rsidRDefault="00592824" w:rsidP="00592824">
      <w:pPr>
        <w:bidi w:val="0"/>
        <w:jc w:val="both"/>
        <w:rPr>
          <w:rFonts w:asciiTheme="majorBidi" w:eastAsiaTheme="minorEastAsia" w:hAnsiTheme="majorBidi"/>
          <w:lang w:bidi="ar-JO"/>
        </w:rPr>
      </w:pPr>
      <w:r w:rsidRPr="00DA5948">
        <w:rPr>
          <w:rFonts w:asciiTheme="majorBidi" w:eastAsiaTheme="minorEastAsia" w:hAnsiTheme="majorBidi"/>
          <w:lang w:bidi="ar-JO"/>
        </w:rPr>
        <w:t>We will estimate the following four equations:</w:t>
      </w:r>
    </w:p>
    <w:p w:rsidR="00592824" w:rsidRPr="00DA5948" w:rsidRDefault="00592824" w:rsidP="00592824">
      <w:pPr>
        <w:bidi w:val="0"/>
        <w:jc w:val="both"/>
        <w:rPr>
          <w:rFonts w:asciiTheme="majorBidi" w:eastAsiaTheme="minorEastAsia" w:hAnsiTheme="majorBidi"/>
          <w:lang w:bidi="ar-JO"/>
        </w:rPr>
      </w:pPr>
      <w:r w:rsidRPr="00DA5948">
        <w:rPr>
          <w:rFonts w:asciiTheme="majorBidi" w:eastAsiaTheme="minorEastAsia" w:hAnsiTheme="majorBidi"/>
          <w:lang w:bidi="ar-JO"/>
        </w:rPr>
        <w:t>Services Imports Equation (SM):</w:t>
      </w:r>
    </w:p>
    <w:p w:rsidR="00592824" w:rsidRPr="00FD17A1" w:rsidRDefault="003F10BE" w:rsidP="00592824">
      <w:pPr>
        <w:bidi w:val="0"/>
        <w:jc w:val="both"/>
        <w:rPr>
          <w:rFonts w:asciiTheme="majorBidi" w:eastAsiaTheme="minorEastAsia" w:hAnsiTheme="majorBidi"/>
          <w:i/>
          <w:iCs/>
          <w:sz w:val="32"/>
          <w:szCs w:val="32"/>
          <w:lang w:bidi="ar-JO"/>
        </w:rPr>
      </w:pPr>
      <m:oMathPara>
        <m:oMath>
          <m:sSub>
            <m:sSubPr>
              <m:ctrlPr>
                <w:rPr>
                  <w:i/>
                  <w:iCs/>
                  <w:sz w:val="32"/>
                  <w:szCs w:val="32"/>
                  <w:lang w:bidi="ar-JO"/>
                </w:rPr>
              </m:ctrlPr>
            </m:sSubPr>
            <m:e>
              <m:r>
                <w:rPr>
                  <w:sz w:val="32"/>
                  <w:szCs w:val="32"/>
                  <w:lang w:bidi="ar-JO"/>
                </w:rPr>
                <m:t>SM</m:t>
              </m:r>
            </m:e>
            <m:sub>
              <m:r>
                <w:rPr>
                  <w:sz w:val="32"/>
                  <w:szCs w:val="32"/>
                  <w:lang w:bidi="ar-JO"/>
                </w:rPr>
                <m:t>it</m:t>
              </m:r>
            </m:sub>
          </m:sSub>
          <m:r>
            <w:rPr>
              <w:sz w:val="32"/>
              <w:szCs w:val="32"/>
              <w:lang w:bidi="ar-JO"/>
            </w:rPr>
            <m:t>=</m:t>
          </m:r>
          <m:sSub>
            <m:sSubPr>
              <m:ctrlPr>
                <w:rPr>
                  <w:i/>
                  <w:iCs/>
                  <w:sz w:val="32"/>
                  <w:szCs w:val="32"/>
                  <w:lang w:bidi="ar-JO"/>
                </w:rPr>
              </m:ctrlPr>
            </m:sSubPr>
            <m:e>
              <m:r>
                <w:rPr>
                  <w:sz w:val="32"/>
                  <w:szCs w:val="32"/>
                  <w:lang w:bidi="ar-JO"/>
                </w:rPr>
                <m:t>β</m:t>
              </m:r>
            </m:e>
            <m:sub>
              <m:r>
                <w:rPr>
                  <w:sz w:val="32"/>
                  <w:szCs w:val="32"/>
                  <w:lang w:bidi="ar-JO"/>
                </w:rPr>
                <m:t>0</m:t>
              </m:r>
            </m:sub>
          </m:sSub>
          <m:r>
            <w:rPr>
              <w:sz w:val="32"/>
              <w:szCs w:val="32"/>
              <w:lang w:bidi="ar-JO"/>
            </w:rPr>
            <m:t>+</m:t>
          </m:r>
          <m:sSub>
            <m:sSubPr>
              <m:ctrlPr>
                <w:rPr>
                  <w:i/>
                  <w:iCs/>
                  <w:sz w:val="32"/>
                  <w:szCs w:val="32"/>
                  <w:lang w:bidi="ar-JO"/>
                </w:rPr>
              </m:ctrlPr>
            </m:sSubPr>
            <m:e>
              <m:r>
                <w:rPr>
                  <w:sz w:val="32"/>
                  <w:szCs w:val="32"/>
                  <w:lang w:bidi="ar-JO"/>
                </w:rPr>
                <m:t>β</m:t>
              </m:r>
            </m:e>
            <m:sub>
              <m:r>
                <w:rPr>
                  <w:sz w:val="32"/>
                  <w:szCs w:val="32"/>
                  <w:lang w:bidi="ar-JO"/>
                </w:rPr>
                <m:t>1</m:t>
              </m:r>
            </m:sub>
          </m:sSub>
          <m:sSub>
            <m:sSubPr>
              <m:ctrlPr>
                <w:rPr>
                  <w:i/>
                  <w:iCs/>
                  <w:sz w:val="32"/>
                  <w:szCs w:val="32"/>
                  <w:lang w:bidi="ar-JO"/>
                </w:rPr>
              </m:ctrlPr>
            </m:sSubPr>
            <m:e>
              <m:r>
                <w:rPr>
                  <w:sz w:val="32"/>
                  <w:szCs w:val="32"/>
                  <w:lang w:bidi="ar-JO"/>
                </w:rPr>
                <m:t>GDP</m:t>
              </m:r>
            </m:e>
            <m:sub>
              <m:r>
                <w:rPr>
                  <w:sz w:val="32"/>
                  <w:szCs w:val="32"/>
                  <w:lang w:bidi="ar-JO"/>
                </w:rPr>
                <m:t>i</m:t>
              </m:r>
            </m:sub>
          </m:sSub>
          <m:r>
            <w:rPr>
              <w:sz w:val="32"/>
              <w:szCs w:val="32"/>
              <w:lang w:bidi="ar-JO"/>
            </w:rPr>
            <m:t>+</m:t>
          </m:r>
          <m:sSub>
            <m:sSubPr>
              <m:ctrlPr>
                <w:rPr>
                  <w:i/>
                  <w:iCs/>
                  <w:sz w:val="32"/>
                  <w:szCs w:val="32"/>
                  <w:lang w:bidi="ar-JO"/>
                </w:rPr>
              </m:ctrlPr>
            </m:sSubPr>
            <m:e>
              <m:r>
                <w:rPr>
                  <w:sz w:val="32"/>
                  <w:szCs w:val="32"/>
                  <w:lang w:bidi="ar-JO"/>
                </w:rPr>
                <m:t>β</m:t>
              </m:r>
            </m:e>
            <m:sub>
              <m:r>
                <w:rPr>
                  <w:sz w:val="32"/>
                  <w:szCs w:val="32"/>
                  <w:lang w:bidi="ar-JO"/>
                </w:rPr>
                <m:t>2</m:t>
              </m:r>
            </m:sub>
          </m:sSub>
          <m:sSub>
            <m:sSubPr>
              <m:ctrlPr>
                <w:rPr>
                  <w:i/>
                  <w:iCs/>
                  <w:sz w:val="32"/>
                  <w:szCs w:val="32"/>
                  <w:lang w:bidi="ar-JO"/>
                </w:rPr>
              </m:ctrlPr>
            </m:sSubPr>
            <m:e>
              <m:r>
                <w:rPr>
                  <w:sz w:val="32"/>
                  <w:szCs w:val="32"/>
                  <w:lang w:bidi="ar-JO"/>
                </w:rPr>
                <m:t>Pop</m:t>
              </m:r>
            </m:e>
            <m:sub>
              <m:r>
                <w:rPr>
                  <w:sz w:val="32"/>
                  <w:szCs w:val="32"/>
                  <w:lang w:bidi="ar-JO"/>
                </w:rPr>
                <m:t>i</m:t>
              </m:r>
            </m:sub>
          </m:sSub>
          <m:r>
            <w:rPr>
              <w:sz w:val="32"/>
              <w:szCs w:val="32"/>
              <w:lang w:bidi="ar-JO"/>
            </w:rPr>
            <m:t>+</m:t>
          </m:r>
          <m:sSub>
            <m:sSubPr>
              <m:ctrlPr>
                <w:rPr>
                  <w:i/>
                  <w:iCs/>
                  <w:sz w:val="32"/>
                  <w:szCs w:val="32"/>
                  <w:lang w:bidi="ar-JO"/>
                </w:rPr>
              </m:ctrlPr>
            </m:sSubPr>
            <m:e>
              <m:r>
                <w:rPr>
                  <w:sz w:val="32"/>
                  <w:szCs w:val="32"/>
                  <w:lang w:bidi="ar-JO"/>
                </w:rPr>
                <m:t>β</m:t>
              </m:r>
            </m:e>
            <m:sub>
              <m:r>
                <w:rPr>
                  <w:sz w:val="32"/>
                  <w:szCs w:val="32"/>
                  <w:lang w:bidi="ar-JO"/>
                </w:rPr>
                <m:t>3</m:t>
              </m:r>
            </m:sub>
          </m:sSub>
          <m:sSub>
            <m:sSubPr>
              <m:ctrlPr>
                <w:rPr>
                  <w:i/>
                  <w:iCs/>
                  <w:sz w:val="32"/>
                  <w:szCs w:val="32"/>
                  <w:lang w:bidi="ar-JO"/>
                </w:rPr>
              </m:ctrlPr>
            </m:sSubPr>
            <m:e>
              <m:r>
                <w:rPr>
                  <w:sz w:val="32"/>
                  <w:szCs w:val="32"/>
                  <w:lang w:bidi="ar-JO"/>
                </w:rPr>
                <m:t>Dist</m:t>
              </m:r>
            </m:e>
            <m:sub>
              <m:r>
                <w:rPr>
                  <w:sz w:val="32"/>
                  <w:szCs w:val="32"/>
                  <w:lang w:bidi="ar-JO"/>
                </w:rPr>
                <m:t>i</m:t>
              </m:r>
            </m:sub>
          </m:sSub>
          <m:r>
            <w:rPr>
              <w:sz w:val="32"/>
              <w:szCs w:val="32"/>
              <w:lang w:bidi="ar-JO"/>
            </w:rPr>
            <m:t>+</m:t>
          </m:r>
          <m:sSub>
            <m:sSubPr>
              <m:ctrlPr>
                <w:rPr>
                  <w:i/>
                  <w:iCs/>
                  <w:sz w:val="32"/>
                  <w:szCs w:val="32"/>
                  <w:lang w:bidi="ar-JO"/>
                </w:rPr>
              </m:ctrlPr>
            </m:sSubPr>
            <m:e>
              <m:r>
                <w:rPr>
                  <w:sz w:val="32"/>
                  <w:szCs w:val="32"/>
                  <w:lang w:bidi="ar-JO"/>
                </w:rPr>
                <m:t>β</m:t>
              </m:r>
            </m:e>
            <m:sub>
              <m:r>
                <w:rPr>
                  <w:sz w:val="32"/>
                  <w:szCs w:val="32"/>
                  <w:lang w:bidi="ar-JO"/>
                </w:rPr>
                <m:t>4</m:t>
              </m:r>
            </m:sub>
          </m:sSub>
          <m:sSub>
            <m:sSubPr>
              <m:ctrlPr>
                <w:rPr>
                  <w:i/>
                  <w:iCs/>
                  <w:sz w:val="32"/>
                  <w:szCs w:val="32"/>
                  <w:lang w:bidi="ar-JO"/>
                </w:rPr>
              </m:ctrlPr>
            </m:sSubPr>
            <m:e>
              <m:r>
                <w:rPr>
                  <w:sz w:val="32"/>
                  <w:szCs w:val="32"/>
                  <w:lang w:bidi="ar-JO"/>
                </w:rPr>
                <m:t>TOpen</m:t>
              </m:r>
            </m:e>
            <m:sub>
              <m:r>
                <w:rPr>
                  <w:sz w:val="32"/>
                  <w:szCs w:val="32"/>
                  <w:lang w:bidi="ar-JO"/>
                </w:rPr>
                <m:t>i</m:t>
              </m:r>
            </m:sub>
          </m:sSub>
          <m:r>
            <w:rPr>
              <w:sz w:val="32"/>
              <w:szCs w:val="32"/>
              <w:lang w:bidi="ar-JO"/>
            </w:rPr>
            <m:t>+</m:t>
          </m:r>
          <m:sSub>
            <m:sSubPr>
              <m:ctrlPr>
                <w:rPr>
                  <w:i/>
                  <w:iCs/>
                  <w:sz w:val="32"/>
                  <w:szCs w:val="32"/>
                  <w:lang w:bidi="ar-JO"/>
                </w:rPr>
              </m:ctrlPr>
            </m:sSubPr>
            <m:e>
              <m:r>
                <w:rPr>
                  <w:sz w:val="32"/>
                  <w:szCs w:val="32"/>
                  <w:lang w:bidi="ar-JO"/>
                </w:rPr>
                <m:t>ε</m:t>
              </m:r>
            </m:e>
            <m:sub>
              <m:r>
                <w:rPr>
                  <w:sz w:val="32"/>
                  <w:szCs w:val="32"/>
                  <w:lang w:bidi="ar-JO"/>
                </w:rPr>
                <m:t>t</m:t>
              </m:r>
            </m:sub>
          </m:sSub>
        </m:oMath>
      </m:oMathPara>
    </w:p>
    <w:p w:rsidR="00592824" w:rsidRPr="00DA5948" w:rsidRDefault="00592824" w:rsidP="00592824">
      <w:pPr>
        <w:bidi w:val="0"/>
        <w:jc w:val="both"/>
        <w:rPr>
          <w:rFonts w:asciiTheme="majorBidi" w:eastAsiaTheme="minorEastAsia" w:hAnsiTheme="majorBidi"/>
          <w:lang w:bidi="ar-JO"/>
        </w:rPr>
      </w:pPr>
      <w:r w:rsidRPr="00DA5948">
        <w:rPr>
          <w:rFonts w:asciiTheme="majorBidi" w:eastAsiaTheme="minorEastAsia" w:hAnsiTheme="majorBidi"/>
          <w:lang w:bidi="ar-JO"/>
        </w:rPr>
        <w:t>Services Exports Equation (SX):</w:t>
      </w:r>
    </w:p>
    <w:p w:rsidR="00592824" w:rsidRPr="00FD17A1" w:rsidRDefault="003F10BE" w:rsidP="00592824">
      <w:pPr>
        <w:bidi w:val="0"/>
        <w:jc w:val="both"/>
        <w:rPr>
          <w:rFonts w:asciiTheme="majorBidi" w:eastAsiaTheme="minorEastAsia" w:hAnsiTheme="majorBidi"/>
          <w:sz w:val="32"/>
          <w:szCs w:val="32"/>
          <w:lang w:bidi="ar-JO"/>
        </w:rPr>
      </w:pPr>
      <m:oMathPara>
        <m:oMath>
          <m:sSub>
            <m:sSubPr>
              <m:ctrlPr>
                <w:rPr>
                  <w:sz w:val="32"/>
                  <w:szCs w:val="32"/>
                  <w:lang w:bidi="ar-JO"/>
                </w:rPr>
              </m:ctrlPr>
            </m:sSubPr>
            <m:e>
              <m:r>
                <m:rPr>
                  <m:sty m:val="p"/>
                </m:rPr>
                <w:rPr>
                  <w:sz w:val="32"/>
                  <w:szCs w:val="32"/>
                  <w:lang w:bidi="ar-JO"/>
                </w:rPr>
                <m:t xml:space="preserve"> SX</m:t>
              </m:r>
            </m:e>
            <m:sub>
              <m:r>
                <m:rPr>
                  <m:sty m:val="p"/>
                </m:rPr>
                <w:rPr>
                  <w:sz w:val="32"/>
                  <w:szCs w:val="32"/>
                  <w:lang w:bidi="ar-JO"/>
                </w:rPr>
                <m:t>it</m:t>
              </m:r>
            </m:sub>
          </m:sSub>
          <m:r>
            <m:rPr>
              <m:sty m:val="p"/>
            </m:rPr>
            <w:rPr>
              <w:rFonts w:eastAsiaTheme="minorEastAsia"/>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0</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1</m:t>
              </m:r>
            </m:sub>
          </m:sSub>
          <m:sSub>
            <m:sSubPr>
              <m:ctrlPr>
                <w:rPr>
                  <w:sz w:val="32"/>
                  <w:szCs w:val="32"/>
                  <w:lang w:bidi="ar-JO"/>
                </w:rPr>
              </m:ctrlPr>
            </m:sSubPr>
            <m:e>
              <m:r>
                <m:rPr>
                  <m:sty m:val="p"/>
                </m:rPr>
                <w:rPr>
                  <w:sz w:val="32"/>
                  <w:szCs w:val="32"/>
                  <w:lang w:bidi="ar-JO"/>
                </w:rPr>
                <m:t>GDP</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2</m:t>
              </m:r>
            </m:sub>
          </m:sSub>
          <m:sSub>
            <m:sSubPr>
              <m:ctrlPr>
                <w:rPr>
                  <w:sz w:val="32"/>
                  <w:szCs w:val="32"/>
                  <w:lang w:bidi="ar-JO"/>
                </w:rPr>
              </m:ctrlPr>
            </m:sSubPr>
            <m:e>
              <m:r>
                <m:rPr>
                  <m:sty m:val="p"/>
                </m:rPr>
                <w:rPr>
                  <w:sz w:val="32"/>
                  <w:szCs w:val="32"/>
                  <w:lang w:bidi="ar-JO"/>
                </w:rPr>
                <m:t>Pop</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3</m:t>
              </m:r>
            </m:sub>
          </m:sSub>
          <m:sSub>
            <m:sSubPr>
              <m:ctrlPr>
                <w:rPr>
                  <w:sz w:val="32"/>
                  <w:szCs w:val="32"/>
                  <w:lang w:bidi="ar-JO"/>
                </w:rPr>
              </m:ctrlPr>
            </m:sSubPr>
            <m:e>
              <m:r>
                <m:rPr>
                  <m:sty m:val="p"/>
                </m:rPr>
                <w:rPr>
                  <w:sz w:val="32"/>
                  <w:szCs w:val="32"/>
                  <w:lang w:bidi="ar-JO"/>
                </w:rPr>
                <m:t>Dist</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4</m:t>
              </m:r>
            </m:sub>
          </m:sSub>
          <m:sSub>
            <m:sSubPr>
              <m:ctrlPr>
                <w:rPr>
                  <w:sz w:val="32"/>
                  <w:szCs w:val="32"/>
                  <w:lang w:bidi="ar-JO"/>
                </w:rPr>
              </m:ctrlPr>
            </m:sSubPr>
            <m:e>
              <m:r>
                <m:rPr>
                  <m:sty m:val="p"/>
                </m:rPr>
                <w:rPr>
                  <w:sz w:val="32"/>
                  <w:szCs w:val="32"/>
                  <w:lang w:bidi="ar-JO"/>
                </w:rPr>
                <m:t>TOpen</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ε</m:t>
              </m:r>
            </m:e>
            <m:sub>
              <m:r>
                <m:rPr>
                  <m:sty m:val="p"/>
                </m:rPr>
                <w:rPr>
                  <w:sz w:val="32"/>
                  <w:szCs w:val="32"/>
                  <w:lang w:bidi="ar-JO"/>
                </w:rPr>
                <m:t>t</m:t>
              </m:r>
            </m:sub>
          </m:sSub>
        </m:oMath>
      </m:oMathPara>
    </w:p>
    <w:p w:rsidR="00592824" w:rsidRPr="00DA5948" w:rsidRDefault="00592824" w:rsidP="00592824">
      <w:pPr>
        <w:bidi w:val="0"/>
        <w:jc w:val="both"/>
        <w:rPr>
          <w:rFonts w:asciiTheme="majorBidi" w:eastAsiaTheme="minorEastAsia" w:hAnsiTheme="majorBidi"/>
          <w:lang w:bidi="ar-JO"/>
        </w:rPr>
      </w:pPr>
      <w:r w:rsidRPr="00DA5948">
        <w:rPr>
          <w:rFonts w:asciiTheme="majorBidi" w:eastAsiaTheme="minorEastAsia" w:hAnsiTheme="majorBidi"/>
          <w:lang w:bidi="ar-JO"/>
        </w:rPr>
        <w:t>Trade Balance Equation (TB)</w:t>
      </w:r>
      <w:r>
        <w:rPr>
          <w:rStyle w:val="FootnoteReference"/>
          <w:rFonts w:asciiTheme="majorBidi" w:eastAsiaTheme="minorEastAsia" w:hAnsiTheme="majorBidi"/>
          <w:lang w:bidi="ar-JO"/>
        </w:rPr>
        <w:footnoteReference w:id="2"/>
      </w:r>
      <w:r>
        <w:rPr>
          <w:rFonts w:asciiTheme="majorBidi" w:eastAsiaTheme="minorEastAsia" w:hAnsiTheme="majorBidi"/>
          <w:lang w:bidi="ar-JO"/>
        </w:rPr>
        <w:t>:</w:t>
      </w:r>
    </w:p>
    <w:p w:rsidR="00592824" w:rsidRPr="00FD17A1" w:rsidRDefault="003F10BE" w:rsidP="00592824">
      <w:pPr>
        <w:bidi w:val="0"/>
        <w:jc w:val="both"/>
        <w:rPr>
          <w:rFonts w:asciiTheme="majorBidi" w:eastAsiaTheme="minorEastAsia" w:hAnsiTheme="majorBidi"/>
          <w:sz w:val="32"/>
          <w:szCs w:val="32"/>
          <w:lang w:bidi="ar-JO"/>
        </w:rPr>
      </w:pPr>
      <m:oMathPara>
        <m:oMath>
          <m:sSub>
            <m:sSubPr>
              <m:ctrlPr>
                <w:rPr>
                  <w:sz w:val="32"/>
                  <w:szCs w:val="32"/>
                  <w:lang w:bidi="ar-JO"/>
                </w:rPr>
              </m:ctrlPr>
            </m:sSubPr>
            <m:e>
              <m:r>
                <m:rPr>
                  <m:sty m:val="p"/>
                </m:rPr>
                <w:rPr>
                  <w:sz w:val="32"/>
                  <w:szCs w:val="32"/>
                  <w:lang w:bidi="ar-JO"/>
                </w:rPr>
                <m:t>TB</m:t>
              </m:r>
            </m:e>
            <m:sub>
              <m:r>
                <m:rPr>
                  <m:sty m:val="p"/>
                </m:rPr>
                <w:rPr>
                  <w:sz w:val="32"/>
                  <w:szCs w:val="32"/>
                  <w:lang w:bidi="ar-JO"/>
                </w:rPr>
                <m:t>it</m:t>
              </m:r>
            </m:sub>
          </m:sSub>
          <m:r>
            <m:rPr>
              <m:sty m:val="p"/>
            </m:rPr>
            <w:rPr>
              <w:rFonts w:eastAsiaTheme="minorEastAsia"/>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0</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1</m:t>
              </m:r>
            </m:sub>
          </m:sSub>
          <m:sSub>
            <m:sSubPr>
              <m:ctrlPr>
                <w:rPr>
                  <w:sz w:val="32"/>
                  <w:szCs w:val="32"/>
                  <w:lang w:bidi="ar-JO"/>
                </w:rPr>
              </m:ctrlPr>
            </m:sSubPr>
            <m:e>
              <m:r>
                <m:rPr>
                  <m:sty m:val="p"/>
                </m:rPr>
                <w:rPr>
                  <w:sz w:val="32"/>
                  <w:szCs w:val="32"/>
                  <w:lang w:bidi="ar-JO"/>
                </w:rPr>
                <m:t>GDP</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2</m:t>
              </m:r>
            </m:sub>
          </m:sSub>
          <m:sSub>
            <m:sSubPr>
              <m:ctrlPr>
                <w:rPr>
                  <w:sz w:val="32"/>
                  <w:szCs w:val="32"/>
                  <w:lang w:bidi="ar-JO"/>
                </w:rPr>
              </m:ctrlPr>
            </m:sSubPr>
            <m:e>
              <m:r>
                <m:rPr>
                  <m:sty m:val="p"/>
                </m:rPr>
                <w:rPr>
                  <w:sz w:val="32"/>
                  <w:szCs w:val="32"/>
                  <w:lang w:bidi="ar-JO"/>
                </w:rPr>
                <m:t>Pop</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3</m:t>
              </m:r>
            </m:sub>
          </m:sSub>
          <m:sSub>
            <m:sSubPr>
              <m:ctrlPr>
                <w:rPr>
                  <w:sz w:val="32"/>
                  <w:szCs w:val="32"/>
                  <w:lang w:bidi="ar-JO"/>
                </w:rPr>
              </m:ctrlPr>
            </m:sSubPr>
            <m:e>
              <m:r>
                <m:rPr>
                  <m:sty m:val="p"/>
                </m:rPr>
                <w:rPr>
                  <w:sz w:val="32"/>
                  <w:szCs w:val="32"/>
                  <w:lang w:bidi="ar-JO"/>
                </w:rPr>
                <m:t>Dist</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4</m:t>
              </m:r>
            </m:sub>
          </m:sSub>
          <m:sSub>
            <m:sSubPr>
              <m:ctrlPr>
                <w:rPr>
                  <w:sz w:val="32"/>
                  <w:szCs w:val="32"/>
                  <w:lang w:bidi="ar-JO"/>
                </w:rPr>
              </m:ctrlPr>
            </m:sSubPr>
            <m:e>
              <m:r>
                <m:rPr>
                  <m:sty m:val="p"/>
                </m:rPr>
                <w:rPr>
                  <w:sz w:val="32"/>
                  <w:szCs w:val="32"/>
                  <w:lang w:bidi="ar-JO"/>
                </w:rPr>
                <m:t>TOpen</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ε</m:t>
              </m:r>
            </m:e>
            <m:sub>
              <m:r>
                <m:rPr>
                  <m:sty m:val="p"/>
                </m:rPr>
                <w:rPr>
                  <w:sz w:val="32"/>
                  <w:szCs w:val="32"/>
                  <w:lang w:bidi="ar-JO"/>
                </w:rPr>
                <m:t>t</m:t>
              </m:r>
            </m:sub>
          </m:sSub>
        </m:oMath>
      </m:oMathPara>
    </w:p>
    <w:p w:rsidR="00592824" w:rsidRPr="00DA5948" w:rsidRDefault="00592824" w:rsidP="00592824">
      <w:pPr>
        <w:bidi w:val="0"/>
        <w:jc w:val="both"/>
        <w:rPr>
          <w:rFonts w:asciiTheme="majorBidi" w:eastAsiaTheme="minorEastAsia" w:hAnsiTheme="majorBidi"/>
          <w:lang w:bidi="ar-JO"/>
        </w:rPr>
      </w:pPr>
      <w:r w:rsidRPr="00DA5948">
        <w:rPr>
          <w:rFonts w:asciiTheme="majorBidi" w:eastAsiaTheme="minorEastAsia" w:hAnsiTheme="majorBidi"/>
          <w:lang w:bidi="ar-JO"/>
        </w:rPr>
        <w:t>Total Trade in Services Equation (TST)</w:t>
      </w:r>
      <w:r>
        <w:rPr>
          <w:rStyle w:val="FootnoteReference"/>
          <w:rFonts w:asciiTheme="majorBidi" w:eastAsiaTheme="minorEastAsia" w:hAnsiTheme="majorBidi"/>
          <w:lang w:bidi="ar-JO"/>
        </w:rPr>
        <w:footnoteReference w:id="3"/>
      </w:r>
      <w:r w:rsidRPr="00DA5948">
        <w:rPr>
          <w:rFonts w:asciiTheme="majorBidi" w:eastAsiaTheme="minorEastAsia" w:hAnsiTheme="majorBidi"/>
          <w:lang w:bidi="ar-JO"/>
        </w:rPr>
        <w:t>:</w:t>
      </w:r>
    </w:p>
    <w:p w:rsidR="00592824" w:rsidRPr="00FD17A1" w:rsidRDefault="003F10BE" w:rsidP="00592824">
      <w:pPr>
        <w:bidi w:val="0"/>
        <w:jc w:val="both"/>
        <w:rPr>
          <w:rFonts w:asciiTheme="majorBidi" w:eastAsiaTheme="minorEastAsia" w:hAnsiTheme="majorBidi"/>
          <w:sz w:val="32"/>
          <w:szCs w:val="32"/>
          <w:lang w:bidi="ar-JO"/>
        </w:rPr>
      </w:pPr>
      <m:oMathPara>
        <m:oMath>
          <m:sSub>
            <m:sSubPr>
              <m:ctrlPr>
                <w:rPr>
                  <w:sz w:val="32"/>
                  <w:szCs w:val="32"/>
                  <w:lang w:bidi="ar-JO"/>
                </w:rPr>
              </m:ctrlPr>
            </m:sSubPr>
            <m:e>
              <m:r>
                <m:rPr>
                  <m:sty m:val="p"/>
                </m:rPr>
                <w:rPr>
                  <w:sz w:val="32"/>
                  <w:szCs w:val="32"/>
                  <w:lang w:bidi="ar-JO"/>
                </w:rPr>
                <m:t>TST</m:t>
              </m:r>
            </m:e>
            <m:sub>
              <m:r>
                <m:rPr>
                  <m:sty m:val="p"/>
                </m:rPr>
                <w:rPr>
                  <w:sz w:val="32"/>
                  <w:szCs w:val="32"/>
                  <w:lang w:bidi="ar-JO"/>
                </w:rPr>
                <m:t>it</m:t>
              </m:r>
            </m:sub>
          </m:sSub>
          <m:r>
            <m:rPr>
              <m:sty m:val="p"/>
            </m:rPr>
            <w:rPr>
              <w:rFonts w:eastAsiaTheme="minorEastAsia"/>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0</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1</m:t>
              </m:r>
            </m:sub>
          </m:sSub>
          <m:sSub>
            <m:sSubPr>
              <m:ctrlPr>
                <w:rPr>
                  <w:sz w:val="32"/>
                  <w:szCs w:val="32"/>
                  <w:lang w:bidi="ar-JO"/>
                </w:rPr>
              </m:ctrlPr>
            </m:sSubPr>
            <m:e>
              <m:r>
                <m:rPr>
                  <m:sty m:val="p"/>
                </m:rPr>
                <w:rPr>
                  <w:sz w:val="32"/>
                  <w:szCs w:val="32"/>
                  <w:lang w:bidi="ar-JO"/>
                </w:rPr>
                <m:t>GDP</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2</m:t>
              </m:r>
            </m:sub>
          </m:sSub>
          <m:sSub>
            <m:sSubPr>
              <m:ctrlPr>
                <w:rPr>
                  <w:sz w:val="32"/>
                  <w:szCs w:val="32"/>
                  <w:lang w:bidi="ar-JO"/>
                </w:rPr>
              </m:ctrlPr>
            </m:sSubPr>
            <m:e>
              <m:r>
                <m:rPr>
                  <m:sty m:val="p"/>
                </m:rPr>
                <w:rPr>
                  <w:sz w:val="32"/>
                  <w:szCs w:val="32"/>
                  <w:lang w:bidi="ar-JO"/>
                </w:rPr>
                <m:t>Pop</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3</m:t>
              </m:r>
            </m:sub>
          </m:sSub>
          <m:sSub>
            <m:sSubPr>
              <m:ctrlPr>
                <w:rPr>
                  <w:sz w:val="32"/>
                  <w:szCs w:val="32"/>
                  <w:lang w:bidi="ar-JO"/>
                </w:rPr>
              </m:ctrlPr>
            </m:sSubPr>
            <m:e>
              <m:r>
                <m:rPr>
                  <m:sty m:val="p"/>
                </m:rPr>
                <w:rPr>
                  <w:sz w:val="32"/>
                  <w:szCs w:val="32"/>
                  <w:lang w:bidi="ar-JO"/>
                </w:rPr>
                <m:t>Dist</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β</m:t>
              </m:r>
            </m:e>
            <m:sub>
              <m:r>
                <m:rPr>
                  <m:sty m:val="p"/>
                </m:rPr>
                <w:rPr>
                  <w:sz w:val="32"/>
                  <w:szCs w:val="32"/>
                  <w:lang w:bidi="ar-JO"/>
                </w:rPr>
                <m:t>4</m:t>
              </m:r>
            </m:sub>
          </m:sSub>
          <m:sSub>
            <m:sSubPr>
              <m:ctrlPr>
                <w:rPr>
                  <w:sz w:val="32"/>
                  <w:szCs w:val="32"/>
                  <w:lang w:bidi="ar-JO"/>
                </w:rPr>
              </m:ctrlPr>
            </m:sSubPr>
            <m:e>
              <m:r>
                <m:rPr>
                  <m:sty m:val="p"/>
                </m:rPr>
                <w:rPr>
                  <w:sz w:val="32"/>
                  <w:szCs w:val="32"/>
                  <w:lang w:bidi="ar-JO"/>
                </w:rPr>
                <m:t>TOpen</m:t>
              </m:r>
            </m:e>
            <m:sub>
              <m:r>
                <m:rPr>
                  <m:sty m:val="p"/>
                </m:rPr>
                <w:rPr>
                  <w:sz w:val="32"/>
                  <w:szCs w:val="32"/>
                  <w:lang w:bidi="ar-JO"/>
                </w:rPr>
                <m:t>i</m:t>
              </m:r>
            </m:sub>
          </m:sSub>
          <m:r>
            <m:rPr>
              <m:sty m:val="p"/>
            </m:rPr>
            <w:rPr>
              <w:sz w:val="32"/>
              <w:szCs w:val="32"/>
              <w:lang w:bidi="ar-JO"/>
            </w:rPr>
            <m:t>+</m:t>
          </m:r>
          <m:sSub>
            <m:sSubPr>
              <m:ctrlPr>
                <w:rPr>
                  <w:sz w:val="32"/>
                  <w:szCs w:val="32"/>
                  <w:lang w:bidi="ar-JO"/>
                </w:rPr>
              </m:ctrlPr>
            </m:sSubPr>
            <m:e>
              <m:r>
                <m:rPr>
                  <m:sty m:val="p"/>
                </m:rPr>
                <w:rPr>
                  <w:sz w:val="32"/>
                  <w:szCs w:val="32"/>
                  <w:lang w:bidi="ar-JO"/>
                </w:rPr>
                <m:t>ε</m:t>
              </m:r>
            </m:e>
            <m:sub>
              <m:r>
                <m:rPr>
                  <m:sty m:val="p"/>
                </m:rPr>
                <w:rPr>
                  <w:sz w:val="32"/>
                  <w:szCs w:val="32"/>
                  <w:lang w:bidi="ar-JO"/>
                </w:rPr>
                <m:t>t</m:t>
              </m:r>
            </m:sub>
          </m:sSub>
        </m:oMath>
      </m:oMathPara>
    </w:p>
    <w:p w:rsidR="00592824" w:rsidRPr="00DA5948" w:rsidRDefault="00592824" w:rsidP="00592824">
      <w:pPr>
        <w:bidi w:val="0"/>
        <w:jc w:val="both"/>
        <w:rPr>
          <w:rFonts w:asciiTheme="majorBidi" w:eastAsiaTheme="minorEastAsia" w:hAnsiTheme="majorBidi"/>
          <w:lang w:bidi="ar-JO"/>
        </w:rPr>
      </w:pPr>
      <w:r w:rsidRPr="00DA5948">
        <w:rPr>
          <w:rFonts w:asciiTheme="majorBidi" w:eastAsiaTheme="minorEastAsia" w:hAnsiTheme="majorBidi"/>
          <w:lang w:bidi="ar-JO"/>
        </w:rPr>
        <w:t>The variables in our equations are defined as follows:</w:t>
      </w:r>
    </w:p>
    <w:p w:rsidR="00592824" w:rsidRPr="00DA5948" w:rsidRDefault="00592824" w:rsidP="00592824">
      <w:pPr>
        <w:bidi w:val="0"/>
        <w:spacing w:line="360" w:lineRule="auto"/>
        <w:jc w:val="both"/>
        <w:rPr>
          <w:rFonts w:asciiTheme="majorBidi" w:eastAsiaTheme="minorEastAsia" w:hAnsiTheme="majorBidi"/>
          <w:lang w:bidi="ar-JO"/>
        </w:rPr>
      </w:pPr>
      <w:proofErr w:type="spellStart"/>
      <w:r w:rsidRPr="00DA5948">
        <w:rPr>
          <w:rFonts w:asciiTheme="majorBidi" w:eastAsiaTheme="minorEastAsia" w:hAnsiTheme="majorBidi"/>
          <w:lang w:bidi="ar-JO"/>
        </w:rPr>
        <w:t>GDP</w:t>
      </w:r>
      <w:r w:rsidRPr="00DA5948">
        <w:rPr>
          <w:rFonts w:asciiTheme="majorBidi" w:eastAsiaTheme="minorEastAsia" w:hAnsiTheme="majorBidi"/>
          <w:vertAlign w:val="subscript"/>
          <w:lang w:bidi="ar-JO"/>
        </w:rPr>
        <w:t>i</w:t>
      </w:r>
      <w:proofErr w:type="spellEnd"/>
      <w:r>
        <w:rPr>
          <w:rFonts w:asciiTheme="majorBidi" w:eastAsiaTheme="minorEastAsia" w:hAnsiTheme="majorBidi"/>
          <w:lang w:bidi="ar-JO"/>
        </w:rPr>
        <w:t>:</w:t>
      </w:r>
      <w:r w:rsidRPr="00DA5948">
        <w:rPr>
          <w:rFonts w:asciiTheme="majorBidi" w:eastAsiaTheme="minorEastAsia" w:hAnsiTheme="majorBidi"/>
          <w:lang w:bidi="ar-JO"/>
        </w:rPr>
        <w:t xml:space="preserve"> stands for the share of </w:t>
      </w:r>
      <w:r>
        <w:rPr>
          <w:rFonts w:asciiTheme="majorBidi" w:eastAsiaTheme="minorEastAsia" w:hAnsiTheme="majorBidi"/>
          <w:lang w:bidi="ar-JO"/>
        </w:rPr>
        <w:t xml:space="preserve">the </w:t>
      </w:r>
      <w:r w:rsidRPr="00DA5948">
        <w:rPr>
          <w:rFonts w:asciiTheme="majorBidi" w:eastAsiaTheme="minorEastAsia" w:hAnsiTheme="majorBidi"/>
          <w:lang w:bidi="ar-JO"/>
        </w:rPr>
        <w:t>country i's GDP of total GDP for the MENA region.</w:t>
      </w:r>
    </w:p>
    <w:p w:rsidR="00592824" w:rsidRPr="00DA5948" w:rsidRDefault="00592824" w:rsidP="00592824">
      <w:pPr>
        <w:bidi w:val="0"/>
        <w:spacing w:line="360" w:lineRule="auto"/>
        <w:jc w:val="both"/>
        <w:rPr>
          <w:rFonts w:asciiTheme="majorBidi" w:eastAsiaTheme="minorEastAsia" w:hAnsiTheme="majorBidi"/>
          <w:lang w:bidi="ar-JO"/>
        </w:rPr>
      </w:pPr>
      <w:proofErr w:type="spellStart"/>
      <w:r w:rsidRPr="00DA5948">
        <w:rPr>
          <w:rFonts w:asciiTheme="majorBidi" w:eastAsiaTheme="minorEastAsia" w:hAnsiTheme="majorBidi"/>
          <w:lang w:bidi="ar-JO"/>
        </w:rPr>
        <w:t>Pop</w:t>
      </w:r>
      <w:r w:rsidRPr="00DA5948">
        <w:rPr>
          <w:rFonts w:asciiTheme="majorBidi" w:eastAsiaTheme="minorEastAsia" w:hAnsiTheme="majorBidi"/>
          <w:vertAlign w:val="subscript"/>
          <w:lang w:bidi="ar-JO"/>
        </w:rPr>
        <w:t>i</w:t>
      </w:r>
      <w:proofErr w:type="spellEnd"/>
      <w:r>
        <w:rPr>
          <w:rFonts w:asciiTheme="majorBidi" w:eastAsiaTheme="minorEastAsia" w:hAnsiTheme="majorBidi"/>
          <w:lang w:bidi="ar-JO"/>
        </w:rPr>
        <w:t>:</w:t>
      </w:r>
      <w:r w:rsidRPr="00DA5948">
        <w:rPr>
          <w:rFonts w:asciiTheme="majorBidi" w:eastAsiaTheme="minorEastAsia" w:hAnsiTheme="majorBidi"/>
          <w:lang w:bidi="ar-JO"/>
        </w:rPr>
        <w:t xml:space="preserve"> represents the fraction of </w:t>
      </w:r>
      <w:r>
        <w:rPr>
          <w:rFonts w:asciiTheme="majorBidi" w:eastAsiaTheme="minorEastAsia" w:hAnsiTheme="majorBidi"/>
          <w:lang w:bidi="ar-JO"/>
        </w:rPr>
        <w:t xml:space="preserve">the </w:t>
      </w:r>
      <w:r w:rsidRPr="00DA5948">
        <w:rPr>
          <w:rFonts w:asciiTheme="majorBidi" w:eastAsiaTheme="minorEastAsia" w:hAnsiTheme="majorBidi"/>
          <w:lang w:bidi="ar-JO"/>
        </w:rPr>
        <w:t>country i's population from the total population for the MENA region.</w:t>
      </w:r>
    </w:p>
    <w:p w:rsidR="00592824" w:rsidRPr="00DA5948" w:rsidRDefault="00592824" w:rsidP="00592824">
      <w:pPr>
        <w:bidi w:val="0"/>
        <w:spacing w:line="360" w:lineRule="auto"/>
        <w:jc w:val="both"/>
        <w:rPr>
          <w:rFonts w:asciiTheme="majorBidi" w:eastAsiaTheme="minorEastAsia" w:hAnsiTheme="majorBidi"/>
          <w:lang w:bidi="ar-JO"/>
        </w:rPr>
      </w:pPr>
      <w:proofErr w:type="spellStart"/>
      <w:r w:rsidRPr="00DA5948">
        <w:rPr>
          <w:rFonts w:asciiTheme="majorBidi" w:eastAsiaTheme="minorEastAsia" w:hAnsiTheme="majorBidi"/>
          <w:lang w:bidi="ar-JO"/>
        </w:rPr>
        <w:t>Dist</w:t>
      </w:r>
      <w:r w:rsidRPr="00DA5948">
        <w:rPr>
          <w:rFonts w:asciiTheme="majorBidi" w:eastAsiaTheme="minorEastAsia" w:hAnsiTheme="majorBidi"/>
          <w:vertAlign w:val="subscript"/>
          <w:lang w:bidi="ar-JO"/>
        </w:rPr>
        <w:t>i</w:t>
      </w:r>
      <w:proofErr w:type="spellEnd"/>
      <w:r>
        <w:rPr>
          <w:rFonts w:asciiTheme="majorBidi" w:eastAsiaTheme="minorEastAsia" w:hAnsiTheme="majorBidi"/>
          <w:lang w:bidi="ar-JO"/>
        </w:rPr>
        <w:t>:</w:t>
      </w:r>
      <w:r w:rsidRPr="00DA5948">
        <w:rPr>
          <w:rFonts w:asciiTheme="majorBidi" w:eastAsiaTheme="minorEastAsia" w:hAnsiTheme="majorBidi"/>
          <w:lang w:bidi="ar-JO"/>
        </w:rPr>
        <w:t xml:space="preserve"> measures the GDP weighted distance between </w:t>
      </w:r>
      <w:r>
        <w:rPr>
          <w:rFonts w:asciiTheme="majorBidi" w:eastAsiaTheme="minorEastAsia" w:hAnsiTheme="majorBidi"/>
          <w:lang w:bidi="ar-JO"/>
        </w:rPr>
        <w:t xml:space="preserve">the </w:t>
      </w:r>
      <w:r w:rsidRPr="00DA5948">
        <w:rPr>
          <w:rFonts w:asciiTheme="majorBidi" w:eastAsiaTheme="minorEastAsia" w:hAnsiTheme="majorBidi"/>
          <w:lang w:bidi="ar-JO"/>
        </w:rPr>
        <w:t xml:space="preserve">country i's capital city from the capital cities of other MENA countries </w:t>
      </w:r>
      <w:proofErr w:type="gramStart"/>
      <w:r w:rsidRPr="00DA5948">
        <w:rPr>
          <w:rFonts w:asciiTheme="majorBidi" w:eastAsiaTheme="minorEastAsia" w:hAnsiTheme="majorBidi"/>
          <w:lang w:bidi="ar-JO"/>
        </w:rPr>
        <w:t xml:space="preserve">( </w:t>
      </w:r>
      <w:proofErr w:type="spellStart"/>
      <w:r w:rsidRPr="00DA5948">
        <w:rPr>
          <w:rFonts w:asciiTheme="majorBidi" w:eastAsiaTheme="minorEastAsia" w:hAnsiTheme="majorBidi"/>
          <w:lang w:bidi="ar-JO"/>
        </w:rPr>
        <w:t>Dist</w:t>
      </w:r>
      <w:r w:rsidRPr="00DA5948">
        <w:rPr>
          <w:rFonts w:asciiTheme="majorBidi" w:eastAsiaTheme="minorEastAsia" w:hAnsiTheme="majorBidi"/>
          <w:vertAlign w:val="subscript"/>
          <w:lang w:bidi="ar-JO"/>
        </w:rPr>
        <w:t>i</w:t>
      </w:r>
      <w:proofErr w:type="spellEnd"/>
      <w:proofErr w:type="gramEnd"/>
      <w:r w:rsidRPr="00DA5948">
        <w:rPr>
          <w:rFonts w:asciiTheme="majorBidi" w:eastAsiaTheme="minorEastAsia" w:hAnsiTheme="majorBidi"/>
          <w:lang w:bidi="ar-JO"/>
        </w:rPr>
        <w:t xml:space="preserve"> = ∑(</w:t>
      </w:r>
      <w:proofErr w:type="spellStart"/>
      <w:r w:rsidRPr="00DA5948">
        <w:rPr>
          <w:rFonts w:asciiTheme="majorBidi" w:eastAsiaTheme="minorEastAsia" w:hAnsiTheme="majorBidi"/>
          <w:lang w:bidi="ar-JO"/>
        </w:rPr>
        <w:t>dist</w:t>
      </w:r>
      <w:r w:rsidRPr="00DA5948">
        <w:rPr>
          <w:rFonts w:asciiTheme="majorBidi" w:eastAsiaTheme="minorEastAsia" w:hAnsiTheme="majorBidi"/>
          <w:vertAlign w:val="subscript"/>
          <w:lang w:bidi="ar-JO"/>
        </w:rPr>
        <w:t>ij</w:t>
      </w:r>
      <w:proofErr w:type="spellEnd"/>
      <w:r w:rsidRPr="00DA5948">
        <w:rPr>
          <w:rFonts w:asciiTheme="majorBidi" w:eastAsiaTheme="minorEastAsia" w:hAnsiTheme="majorBidi"/>
          <w:lang w:bidi="ar-JO"/>
        </w:rPr>
        <w:t>*(</w:t>
      </w:r>
      <w:proofErr w:type="spellStart"/>
      <w:r w:rsidRPr="00DA5948">
        <w:rPr>
          <w:rFonts w:asciiTheme="majorBidi" w:eastAsiaTheme="minorEastAsia" w:hAnsiTheme="majorBidi"/>
          <w:lang w:bidi="ar-JO"/>
        </w:rPr>
        <w:t>GDP</w:t>
      </w:r>
      <w:r w:rsidRPr="00DA5948">
        <w:rPr>
          <w:rFonts w:asciiTheme="majorBidi" w:eastAsiaTheme="minorEastAsia" w:hAnsiTheme="majorBidi"/>
          <w:vertAlign w:val="subscript"/>
          <w:lang w:bidi="ar-JO"/>
        </w:rPr>
        <w:t>j</w:t>
      </w:r>
      <w:proofErr w:type="spellEnd"/>
      <w:r w:rsidRPr="00DA5948">
        <w:rPr>
          <w:rFonts w:asciiTheme="majorBidi" w:eastAsiaTheme="minorEastAsia" w:hAnsiTheme="majorBidi"/>
          <w:lang w:bidi="ar-JO"/>
        </w:rPr>
        <w:t>/</w:t>
      </w:r>
      <w:proofErr w:type="spellStart"/>
      <w:r w:rsidRPr="00DA5948">
        <w:rPr>
          <w:rFonts w:asciiTheme="majorBidi" w:eastAsiaTheme="minorEastAsia" w:hAnsiTheme="majorBidi"/>
          <w:lang w:bidi="ar-JO"/>
        </w:rPr>
        <w:t>GDP</w:t>
      </w:r>
      <w:r w:rsidRPr="00DA5948">
        <w:rPr>
          <w:rFonts w:asciiTheme="majorBidi" w:eastAsiaTheme="minorEastAsia" w:hAnsiTheme="majorBidi"/>
          <w:vertAlign w:val="subscript"/>
          <w:lang w:bidi="ar-JO"/>
        </w:rPr>
        <w:t>mena</w:t>
      </w:r>
      <w:proofErr w:type="spellEnd"/>
      <w:r w:rsidRPr="00DA5948">
        <w:rPr>
          <w:rFonts w:asciiTheme="majorBidi" w:eastAsiaTheme="minorEastAsia" w:hAnsiTheme="majorBidi"/>
          <w:lang w:bidi="ar-JO"/>
        </w:rPr>
        <w:t>) ).</w:t>
      </w:r>
    </w:p>
    <w:p w:rsidR="00592824" w:rsidRPr="00DA5948" w:rsidRDefault="00592824" w:rsidP="00592824">
      <w:pPr>
        <w:bidi w:val="0"/>
        <w:spacing w:line="360" w:lineRule="auto"/>
        <w:jc w:val="both"/>
        <w:rPr>
          <w:rFonts w:asciiTheme="majorBidi" w:eastAsiaTheme="minorEastAsia" w:hAnsiTheme="majorBidi"/>
          <w:lang w:bidi="ar-JO"/>
        </w:rPr>
      </w:pPr>
      <w:proofErr w:type="spellStart"/>
      <w:r w:rsidRPr="00DA5948">
        <w:rPr>
          <w:rFonts w:asciiTheme="majorBidi" w:eastAsiaTheme="minorEastAsia" w:hAnsiTheme="majorBidi"/>
          <w:lang w:bidi="ar-JO"/>
        </w:rPr>
        <w:t>TOpen</w:t>
      </w:r>
      <w:r w:rsidRPr="00DA5948">
        <w:rPr>
          <w:rFonts w:asciiTheme="majorBidi" w:eastAsiaTheme="minorEastAsia" w:hAnsiTheme="majorBidi"/>
          <w:vertAlign w:val="subscript"/>
          <w:lang w:bidi="ar-JO"/>
        </w:rPr>
        <w:t>i</w:t>
      </w:r>
      <w:proofErr w:type="spellEnd"/>
      <w:r>
        <w:rPr>
          <w:rFonts w:asciiTheme="majorBidi" w:eastAsiaTheme="minorEastAsia" w:hAnsiTheme="majorBidi"/>
          <w:lang w:bidi="ar-JO"/>
        </w:rPr>
        <w:t>:</w:t>
      </w:r>
      <w:r w:rsidRPr="00DA5948">
        <w:rPr>
          <w:rFonts w:asciiTheme="majorBidi" w:eastAsiaTheme="minorEastAsia" w:hAnsiTheme="majorBidi"/>
          <w:lang w:bidi="ar-JO"/>
        </w:rPr>
        <w:t xml:space="preserve"> measures the level of trade openness of </w:t>
      </w:r>
      <w:r>
        <w:rPr>
          <w:rFonts w:asciiTheme="majorBidi" w:eastAsiaTheme="minorEastAsia" w:hAnsiTheme="majorBidi"/>
          <w:lang w:bidi="ar-JO"/>
        </w:rPr>
        <w:t xml:space="preserve">the </w:t>
      </w:r>
      <w:r w:rsidRPr="00DA5948">
        <w:rPr>
          <w:rFonts w:asciiTheme="majorBidi" w:eastAsiaTheme="minorEastAsia" w:hAnsiTheme="majorBidi"/>
          <w:lang w:bidi="ar-JO"/>
        </w:rPr>
        <w:t xml:space="preserve">country </w:t>
      </w:r>
      <w:proofErr w:type="spellStart"/>
      <w:r w:rsidRPr="00DA5948">
        <w:rPr>
          <w:rFonts w:asciiTheme="majorBidi" w:eastAsiaTheme="minorEastAsia" w:hAnsiTheme="majorBidi"/>
          <w:lang w:bidi="ar-JO"/>
        </w:rPr>
        <w:t>i</w:t>
      </w:r>
      <w:proofErr w:type="spellEnd"/>
      <w:r w:rsidRPr="00DA5948">
        <w:rPr>
          <w:rFonts w:asciiTheme="majorBidi" w:eastAsiaTheme="minorEastAsia" w:hAnsiTheme="majorBidi"/>
          <w:lang w:bidi="ar-JO"/>
        </w:rPr>
        <w:t xml:space="preserve"> by dividing the sum of total imports and exports (merchandise and services) by the country's GDP.</w:t>
      </w:r>
      <w:r>
        <w:rPr>
          <w:rFonts w:asciiTheme="majorBidi" w:eastAsiaTheme="minorEastAsia" w:hAnsiTheme="majorBidi"/>
          <w:lang w:bidi="ar-JO"/>
        </w:rPr>
        <w:t xml:space="preserve"> Total trade openness, as opposed to trade openness in services only, was taken as an explanatory variable based on our belief that this indicator better represents trade policies and trade relationships between countries (free trade agreements), especially in light of the relatively low level of openness of trade in services.</w:t>
      </w:r>
    </w:p>
    <w:p w:rsidR="00592824" w:rsidRDefault="00592824" w:rsidP="00592824">
      <w:pPr>
        <w:bidi w:val="0"/>
        <w:jc w:val="both"/>
        <w:rPr>
          <w:rFonts w:asciiTheme="majorBidi" w:eastAsiaTheme="minorEastAsia" w:hAnsiTheme="majorBidi"/>
          <w:lang w:bidi="ar-JO"/>
        </w:rPr>
      </w:pPr>
    </w:p>
    <w:p w:rsidR="00592824" w:rsidRDefault="00592824" w:rsidP="00592824">
      <w:pPr>
        <w:bidi w:val="0"/>
        <w:jc w:val="both"/>
        <w:rPr>
          <w:rFonts w:asciiTheme="majorBidi" w:eastAsiaTheme="minorEastAsia" w:hAnsiTheme="majorBidi"/>
          <w:lang w:bidi="ar-JO"/>
        </w:rPr>
      </w:pPr>
    </w:p>
    <w:p w:rsidR="00592824" w:rsidRPr="00C526EF" w:rsidRDefault="00592824" w:rsidP="00592824">
      <w:pPr>
        <w:bidi w:val="0"/>
        <w:jc w:val="both"/>
        <w:rPr>
          <w:rFonts w:asciiTheme="majorBidi" w:eastAsiaTheme="minorEastAsia" w:hAnsiTheme="majorBidi"/>
          <w:lang w:bidi="ar-JO"/>
        </w:rPr>
      </w:pPr>
    </w:p>
    <w:p w:rsidR="00592824" w:rsidRDefault="00592824" w:rsidP="00592824">
      <w:pPr>
        <w:pStyle w:val="ListParagraph"/>
        <w:numPr>
          <w:ilvl w:val="0"/>
          <w:numId w:val="1"/>
        </w:numPr>
        <w:bidi w:val="0"/>
        <w:ind w:left="426" w:hanging="426"/>
        <w:outlineLvl w:val="0"/>
        <w:rPr>
          <w:rFonts w:asciiTheme="majorBidi" w:hAnsiTheme="majorBidi"/>
          <w:b/>
          <w:bCs/>
          <w:i/>
          <w:iCs/>
          <w:sz w:val="28"/>
          <w:szCs w:val="28"/>
          <w:lang w:bidi="ar-JO"/>
        </w:rPr>
      </w:pPr>
      <w:bookmarkStart w:id="13" w:name="_Toc316991755"/>
      <w:bookmarkStart w:id="14" w:name="_Toc316992248"/>
      <w:r>
        <w:rPr>
          <w:rFonts w:asciiTheme="majorBidi" w:hAnsiTheme="majorBidi"/>
          <w:b/>
          <w:bCs/>
          <w:i/>
          <w:iCs/>
          <w:sz w:val="28"/>
          <w:szCs w:val="28"/>
          <w:lang w:bidi="ar-JO"/>
        </w:rPr>
        <w:t>Descriptive Analysis</w:t>
      </w:r>
      <w:bookmarkEnd w:id="13"/>
      <w:bookmarkEnd w:id="14"/>
    </w:p>
    <w:p w:rsidR="00592824" w:rsidRPr="00DA5948" w:rsidRDefault="00592824" w:rsidP="00592824">
      <w:pPr>
        <w:bidi w:val="0"/>
        <w:spacing w:line="360" w:lineRule="auto"/>
        <w:jc w:val="both"/>
        <w:rPr>
          <w:rFonts w:asciiTheme="majorBidi" w:hAnsiTheme="majorBidi"/>
          <w:lang w:bidi="ar-JO"/>
        </w:rPr>
      </w:pPr>
      <w:r w:rsidRPr="00DA5948">
        <w:rPr>
          <w:rFonts w:asciiTheme="majorBidi" w:hAnsiTheme="majorBidi"/>
          <w:lang w:bidi="ar-JO"/>
        </w:rPr>
        <w:t>This section explores the descriptive analysis of services trade in the MENA region. Economic growth in the MENA region has been relatively slow. Since 1980, real per capita incomes in the region increased by 30 percent, compared to 60 percent</w:t>
      </w:r>
      <w:r>
        <w:rPr>
          <w:rFonts w:asciiTheme="majorBidi" w:hAnsiTheme="majorBidi"/>
          <w:lang w:bidi="ar-JO"/>
        </w:rPr>
        <w:t xml:space="preserve"> increase in</w:t>
      </w:r>
      <w:r w:rsidRPr="00DA5948">
        <w:rPr>
          <w:rFonts w:asciiTheme="majorBidi" w:hAnsiTheme="majorBidi"/>
          <w:lang w:bidi="ar-JO"/>
        </w:rPr>
        <w:t xml:space="preserve"> the world, and more than threefold in both East Asia and South Asia over the same period. While there are a number of possible contributing factors,</w:t>
      </w:r>
      <w:r>
        <w:rPr>
          <w:rFonts w:asciiTheme="majorBidi" w:hAnsiTheme="majorBidi"/>
          <w:lang w:bidi="ar-JO"/>
        </w:rPr>
        <w:t xml:space="preserve"> this</w:t>
      </w:r>
      <w:r w:rsidRPr="00DA5948">
        <w:rPr>
          <w:rFonts w:asciiTheme="majorBidi" w:hAnsiTheme="majorBidi"/>
          <w:lang w:bidi="ar-JO"/>
        </w:rPr>
        <w:t xml:space="preserve"> research shows a strong link between international trade flows and income per capita. Greater openness assist</w:t>
      </w:r>
      <w:r>
        <w:rPr>
          <w:rFonts w:asciiTheme="majorBidi" w:hAnsiTheme="majorBidi"/>
          <w:lang w:bidi="ar-JO"/>
        </w:rPr>
        <w:t>s</w:t>
      </w:r>
      <w:r w:rsidRPr="00DA5948">
        <w:rPr>
          <w:rFonts w:asciiTheme="majorBidi" w:hAnsiTheme="majorBidi"/>
          <w:lang w:bidi="ar-JO"/>
        </w:rPr>
        <w:t xml:space="preserve"> the movement of resources into their most productive uses, which raises living standards and increases the return on investment. The MENA region, however, has largely </w:t>
      </w:r>
      <w:r>
        <w:rPr>
          <w:rFonts w:asciiTheme="majorBidi" w:hAnsiTheme="majorBidi"/>
          <w:lang w:bidi="ar-JO"/>
        </w:rPr>
        <w:t xml:space="preserve">fallen back </w:t>
      </w:r>
      <w:r w:rsidRPr="00DA5948">
        <w:rPr>
          <w:rFonts w:asciiTheme="majorBidi" w:hAnsiTheme="majorBidi"/>
          <w:lang w:bidi="ar-JO"/>
        </w:rPr>
        <w:t xml:space="preserve">on global trade integration, due </w:t>
      </w:r>
      <w:r>
        <w:rPr>
          <w:rFonts w:asciiTheme="majorBidi" w:hAnsiTheme="majorBidi"/>
          <w:lang w:bidi="ar-JO"/>
        </w:rPr>
        <w:t xml:space="preserve">partially </w:t>
      </w:r>
      <w:r w:rsidRPr="00DA5948">
        <w:rPr>
          <w:rFonts w:asciiTheme="majorBidi" w:hAnsiTheme="majorBidi"/>
          <w:lang w:bidi="ar-JO"/>
        </w:rPr>
        <w:t>to the restrictiveness of their trade regimes. Trade policy, including high and complex tariffs, have been cited as the main policy-induced barrier to intra-Arab trade, but other aspect</w:t>
      </w:r>
      <w:r>
        <w:rPr>
          <w:rFonts w:asciiTheme="majorBidi" w:hAnsiTheme="majorBidi"/>
          <w:lang w:bidi="ar-JO"/>
        </w:rPr>
        <w:t>s</w:t>
      </w:r>
      <w:r w:rsidRPr="00DA5948">
        <w:rPr>
          <w:rFonts w:asciiTheme="majorBidi" w:hAnsiTheme="majorBidi"/>
          <w:lang w:bidi="ar-JO"/>
        </w:rPr>
        <w:t xml:space="preserve"> including high logistics costs and insufficient skills have been eminent as well. As a result, many attribute at least part of the MENA region’s poor economic performance to inadequate integration.</w:t>
      </w:r>
    </w:p>
    <w:p w:rsidR="00592824" w:rsidRPr="00DA5948" w:rsidRDefault="00592824" w:rsidP="00592824">
      <w:pPr>
        <w:bidi w:val="0"/>
        <w:spacing w:line="360" w:lineRule="auto"/>
        <w:jc w:val="both"/>
        <w:rPr>
          <w:rFonts w:asciiTheme="majorBidi" w:hAnsiTheme="majorBidi"/>
          <w:lang w:bidi="ar-JO"/>
        </w:rPr>
      </w:pPr>
      <w:r w:rsidRPr="00DA5948">
        <w:rPr>
          <w:rFonts w:asciiTheme="majorBidi" w:hAnsiTheme="majorBidi"/>
          <w:lang w:bidi="ar-JO"/>
        </w:rPr>
        <w:t>Figure (1) demonstrates a stagnant level of</w:t>
      </w:r>
      <w:r>
        <w:rPr>
          <w:rFonts w:asciiTheme="majorBidi" w:hAnsiTheme="majorBidi"/>
          <w:lang w:bidi="ar-JO"/>
        </w:rPr>
        <w:t xml:space="preserve"> the</w:t>
      </w:r>
      <w:r w:rsidRPr="00DA5948">
        <w:rPr>
          <w:rFonts w:asciiTheme="majorBidi" w:hAnsiTheme="majorBidi"/>
          <w:lang w:bidi="ar-JO"/>
        </w:rPr>
        <w:t xml:space="preserve"> MENA’s share of world trade in the 1990s wi</w:t>
      </w:r>
      <w:r>
        <w:rPr>
          <w:rFonts w:asciiTheme="majorBidi" w:hAnsiTheme="majorBidi"/>
          <w:lang w:bidi="ar-JO"/>
        </w:rPr>
        <w:t>th minor improvements in the la</w:t>
      </w:r>
      <w:r w:rsidRPr="00DA5948">
        <w:rPr>
          <w:rFonts w:asciiTheme="majorBidi" w:hAnsiTheme="majorBidi"/>
          <w:lang w:bidi="ar-JO"/>
        </w:rPr>
        <w:t xml:space="preserve">ter part of the decade, such that it accounted for about 3.4 percent of </w:t>
      </w:r>
      <w:r>
        <w:rPr>
          <w:rFonts w:asciiTheme="majorBidi" w:hAnsiTheme="majorBidi"/>
          <w:lang w:bidi="ar-JO"/>
        </w:rPr>
        <w:t xml:space="preserve">the </w:t>
      </w:r>
      <w:r w:rsidRPr="00DA5948">
        <w:rPr>
          <w:rFonts w:asciiTheme="majorBidi" w:hAnsiTheme="majorBidi"/>
          <w:lang w:bidi="ar-JO"/>
        </w:rPr>
        <w:t>world exports and 2.6 percent of</w:t>
      </w:r>
      <w:r>
        <w:rPr>
          <w:rFonts w:asciiTheme="majorBidi" w:hAnsiTheme="majorBidi"/>
          <w:lang w:bidi="ar-JO"/>
        </w:rPr>
        <w:t xml:space="preserve"> the</w:t>
      </w:r>
      <w:r w:rsidRPr="00DA5948">
        <w:rPr>
          <w:rFonts w:asciiTheme="majorBidi" w:hAnsiTheme="majorBidi"/>
          <w:lang w:bidi="ar-JO"/>
        </w:rPr>
        <w:t xml:space="preserve"> world imports in 2000. In the </w:t>
      </w:r>
      <w:r>
        <w:rPr>
          <w:rFonts w:asciiTheme="majorBidi" w:hAnsiTheme="majorBidi"/>
          <w:lang w:bidi="ar-JO"/>
        </w:rPr>
        <w:t>21</w:t>
      </w:r>
      <w:r w:rsidRPr="009073EB">
        <w:rPr>
          <w:rFonts w:asciiTheme="majorBidi" w:hAnsiTheme="majorBidi"/>
          <w:vertAlign w:val="superscript"/>
          <w:lang w:bidi="ar-JO"/>
        </w:rPr>
        <w:t>st</w:t>
      </w:r>
      <w:r>
        <w:rPr>
          <w:rFonts w:asciiTheme="majorBidi" w:hAnsiTheme="majorBidi"/>
          <w:lang w:bidi="ar-JO"/>
        </w:rPr>
        <w:t xml:space="preserve"> </w:t>
      </w:r>
      <w:r w:rsidRPr="00DA5948">
        <w:rPr>
          <w:rFonts w:asciiTheme="majorBidi" w:hAnsiTheme="majorBidi"/>
          <w:lang w:bidi="ar-JO"/>
        </w:rPr>
        <w:t xml:space="preserve">century, the trend was reversed for both </w:t>
      </w:r>
      <w:r>
        <w:rPr>
          <w:rFonts w:asciiTheme="majorBidi" w:hAnsiTheme="majorBidi"/>
          <w:lang w:bidi="ar-JO"/>
        </w:rPr>
        <w:t xml:space="preserve">exports and imports </w:t>
      </w:r>
      <w:r w:rsidRPr="00DA5948">
        <w:rPr>
          <w:rFonts w:asciiTheme="majorBidi" w:hAnsiTheme="majorBidi"/>
          <w:lang w:bidi="ar-JO"/>
        </w:rPr>
        <w:t xml:space="preserve">by 2010 they accounted for about 5.0 percent and 4.4 percent of </w:t>
      </w:r>
      <w:r>
        <w:rPr>
          <w:rFonts w:asciiTheme="majorBidi" w:hAnsiTheme="majorBidi"/>
          <w:lang w:bidi="ar-JO"/>
        </w:rPr>
        <w:t xml:space="preserve">the </w:t>
      </w:r>
      <w:r w:rsidRPr="00DA5948">
        <w:rPr>
          <w:rFonts w:asciiTheme="majorBidi" w:hAnsiTheme="majorBidi"/>
          <w:lang w:bidi="ar-JO"/>
        </w:rPr>
        <w:t>world</w:t>
      </w:r>
      <w:r>
        <w:rPr>
          <w:rFonts w:asciiTheme="majorBidi" w:hAnsiTheme="majorBidi"/>
          <w:lang w:bidi="ar-JO"/>
        </w:rPr>
        <w:t>s</w:t>
      </w:r>
      <w:r w:rsidRPr="00DA5948">
        <w:rPr>
          <w:rFonts w:asciiTheme="majorBidi" w:hAnsiTheme="majorBidi"/>
          <w:lang w:bidi="ar-JO"/>
        </w:rPr>
        <w:t xml:space="preserve"> exports and imports, respectively.</w:t>
      </w:r>
    </w:p>
    <w:p w:rsidR="00592824" w:rsidRDefault="00592824" w:rsidP="00592824">
      <w:pPr>
        <w:bidi w:val="0"/>
        <w:spacing w:after="0" w:line="360" w:lineRule="auto"/>
        <w:jc w:val="both"/>
        <w:rPr>
          <w:rFonts w:asciiTheme="majorBidi" w:hAnsiTheme="majorBidi"/>
          <w:lang w:bidi="ar-JO"/>
        </w:rPr>
      </w:pPr>
      <w:r w:rsidRPr="00D77EA2">
        <w:rPr>
          <w:rFonts w:asciiTheme="majorBidi" w:hAnsiTheme="majorBidi"/>
          <w:noProof/>
          <w:lang w:val="en-GB" w:eastAsia="en-GB"/>
        </w:rPr>
        <w:lastRenderedPageBreak/>
        <w:drawing>
          <wp:inline distT="0" distB="0" distL="0" distR="0">
            <wp:extent cx="5191125"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2824" w:rsidRPr="00DA5948" w:rsidRDefault="00592824" w:rsidP="00592824">
      <w:pPr>
        <w:bidi w:val="0"/>
        <w:spacing w:line="360" w:lineRule="auto"/>
        <w:jc w:val="both"/>
        <w:rPr>
          <w:rFonts w:asciiTheme="majorBidi" w:hAnsiTheme="majorBidi"/>
          <w:sz w:val="20"/>
          <w:szCs w:val="20"/>
          <w:lang w:bidi="ar-JO"/>
        </w:rPr>
      </w:pPr>
      <w:r w:rsidRPr="00DA5948">
        <w:rPr>
          <w:rFonts w:asciiTheme="majorBidi" w:hAnsiTheme="majorBidi"/>
          <w:sz w:val="20"/>
          <w:szCs w:val="20"/>
          <w:lang w:bidi="ar-JO"/>
        </w:rPr>
        <w:t xml:space="preserve">Source: </w:t>
      </w:r>
      <w:proofErr w:type="spellStart"/>
      <w:r w:rsidRPr="00DA5948">
        <w:rPr>
          <w:rFonts w:asciiTheme="majorBidi" w:hAnsiTheme="majorBidi"/>
          <w:sz w:val="20"/>
          <w:szCs w:val="20"/>
          <w:lang w:bidi="ar-JO"/>
        </w:rPr>
        <w:t>UNCTADstat</w:t>
      </w:r>
      <w:proofErr w:type="spellEnd"/>
      <w:r w:rsidRPr="00DA5948">
        <w:rPr>
          <w:rFonts w:asciiTheme="majorBidi" w:hAnsiTheme="majorBidi"/>
          <w:sz w:val="20"/>
          <w:szCs w:val="20"/>
          <w:lang w:bidi="ar-JO"/>
        </w:rPr>
        <w:t xml:space="preserve"> and author's own calculations.</w:t>
      </w:r>
    </w:p>
    <w:p w:rsidR="00592824" w:rsidRPr="00DA5948" w:rsidRDefault="00592824" w:rsidP="00592824">
      <w:pPr>
        <w:bidi w:val="0"/>
        <w:spacing w:line="360" w:lineRule="auto"/>
        <w:jc w:val="both"/>
        <w:rPr>
          <w:rFonts w:asciiTheme="majorBidi" w:hAnsiTheme="majorBidi"/>
          <w:lang w:bidi="ar-JO"/>
        </w:rPr>
      </w:pPr>
      <w:r w:rsidRPr="00DA5948">
        <w:rPr>
          <w:rFonts w:asciiTheme="majorBidi" w:hAnsiTheme="majorBidi"/>
          <w:lang w:bidi="ar-JO"/>
        </w:rPr>
        <w:t xml:space="preserve">MENA’s recent trade performance is weak </w:t>
      </w:r>
      <w:r>
        <w:rPr>
          <w:rFonts w:asciiTheme="majorBidi" w:hAnsiTheme="majorBidi"/>
          <w:lang w:bidi="ar-JO"/>
        </w:rPr>
        <w:t xml:space="preserve">when compared to </w:t>
      </w:r>
      <w:r w:rsidRPr="00DA5948">
        <w:rPr>
          <w:rFonts w:asciiTheme="majorBidi" w:hAnsiTheme="majorBidi"/>
          <w:lang w:bidi="ar-JO"/>
        </w:rPr>
        <w:t xml:space="preserve">other countries. MENA’s trade-GDP or export-GDP ratio is above the world average and has been </w:t>
      </w:r>
      <w:r>
        <w:rPr>
          <w:rFonts w:asciiTheme="majorBidi" w:hAnsiTheme="majorBidi"/>
          <w:lang w:bidi="ar-JO"/>
        </w:rPr>
        <w:t xml:space="preserve">so </w:t>
      </w:r>
      <w:r w:rsidRPr="00DA5948">
        <w:rPr>
          <w:rFonts w:asciiTheme="majorBidi" w:hAnsiTheme="majorBidi"/>
          <w:lang w:bidi="ar-JO"/>
        </w:rPr>
        <w:t>since at least the mid 1990s, but this is in large due to petroleum exports. Notably, MENA trade (imports plus exports) excluding oil</w:t>
      </w:r>
      <w:r>
        <w:rPr>
          <w:rFonts w:asciiTheme="majorBidi" w:hAnsiTheme="majorBidi"/>
          <w:lang w:bidi="ar-JO"/>
        </w:rPr>
        <w:t>, is reaching</w:t>
      </w:r>
      <w:r w:rsidRPr="00DA5948">
        <w:rPr>
          <w:rFonts w:asciiTheme="majorBidi" w:hAnsiTheme="majorBidi"/>
          <w:lang w:bidi="ar-JO"/>
        </w:rPr>
        <w:t xml:space="preserve"> the world average but exports alone are below the world average. Conditional upon the relative values of GDP, distanc</w:t>
      </w:r>
      <w:r>
        <w:rPr>
          <w:rFonts w:asciiTheme="majorBidi" w:hAnsiTheme="majorBidi"/>
          <w:lang w:bidi="ar-JO"/>
        </w:rPr>
        <w:t>e, and a number of other aspects</w:t>
      </w:r>
      <w:r w:rsidRPr="00DA5948">
        <w:rPr>
          <w:rFonts w:asciiTheme="majorBidi" w:hAnsiTheme="majorBidi"/>
          <w:lang w:bidi="ar-JO"/>
        </w:rPr>
        <w:t>, a ty</w:t>
      </w:r>
      <w:r>
        <w:rPr>
          <w:rFonts w:asciiTheme="majorBidi" w:hAnsiTheme="majorBidi"/>
          <w:lang w:bidi="ar-JO"/>
        </w:rPr>
        <w:t>pical MENA country underperforms</w:t>
      </w:r>
      <w:r w:rsidRPr="00DA5948">
        <w:rPr>
          <w:rFonts w:asciiTheme="majorBidi" w:hAnsiTheme="majorBidi"/>
          <w:lang w:bidi="ar-JO"/>
        </w:rPr>
        <w:t xml:space="preserve"> in trade with other countries. In particular, exports to the outside world are only a third of their potential. These results </w:t>
      </w:r>
      <w:r>
        <w:rPr>
          <w:rFonts w:asciiTheme="majorBidi" w:hAnsiTheme="majorBidi"/>
          <w:lang w:bidi="ar-JO"/>
        </w:rPr>
        <w:t>represent</w:t>
      </w:r>
      <w:r w:rsidRPr="00DA5948">
        <w:rPr>
          <w:rFonts w:asciiTheme="majorBidi" w:hAnsiTheme="majorBidi"/>
          <w:lang w:bidi="ar-JO"/>
        </w:rPr>
        <w:t xml:space="preserve"> aggregate exports, non-natural exports, and non-petroleum exports.</w:t>
      </w:r>
    </w:p>
    <w:p w:rsidR="00592824" w:rsidRPr="00DA5948" w:rsidRDefault="00592824" w:rsidP="00592824">
      <w:pPr>
        <w:bidi w:val="0"/>
        <w:spacing w:line="360" w:lineRule="auto"/>
        <w:jc w:val="both"/>
        <w:rPr>
          <w:rFonts w:asciiTheme="majorBidi" w:hAnsiTheme="majorBidi"/>
          <w:lang w:bidi="ar-JO"/>
        </w:rPr>
      </w:pPr>
      <w:r>
        <w:rPr>
          <w:rFonts w:asciiTheme="majorBidi" w:hAnsiTheme="majorBidi"/>
          <w:lang w:bidi="ar-JO"/>
        </w:rPr>
        <w:t>To measure whether openness increased in MENA, it is appropriate</w:t>
      </w:r>
      <w:r w:rsidRPr="00DA5948">
        <w:rPr>
          <w:rFonts w:asciiTheme="majorBidi" w:hAnsiTheme="majorBidi"/>
          <w:lang w:bidi="ar-JO"/>
        </w:rPr>
        <w:t xml:space="preserve"> to </w:t>
      </w:r>
      <w:r>
        <w:rPr>
          <w:rFonts w:asciiTheme="majorBidi" w:hAnsiTheme="majorBidi"/>
          <w:lang w:bidi="ar-JO"/>
        </w:rPr>
        <w:t>use</w:t>
      </w:r>
      <w:r w:rsidRPr="00DA5948">
        <w:rPr>
          <w:rFonts w:asciiTheme="majorBidi" w:hAnsiTheme="majorBidi"/>
          <w:lang w:bidi="ar-JO"/>
        </w:rPr>
        <w:t xml:space="preserve"> trade-GDP ratios</w:t>
      </w:r>
      <w:r>
        <w:rPr>
          <w:rFonts w:asciiTheme="majorBidi" w:hAnsiTheme="majorBidi"/>
          <w:lang w:bidi="ar-JO"/>
        </w:rPr>
        <w:t xml:space="preserve"> as the key measure</w:t>
      </w:r>
      <w:r w:rsidRPr="00DA5948">
        <w:rPr>
          <w:rFonts w:asciiTheme="majorBidi" w:hAnsiTheme="majorBidi"/>
          <w:lang w:bidi="ar-JO"/>
        </w:rPr>
        <w:t xml:space="preserve">. Figure 2 shows how trade-GDP ratios evolved over time. MENA’s trade openness fell to about 50.0 percent in the late 1990s but rose to almost 80.0 percent by 2010. World openness rose in the 1990s and continued rising. This </w:t>
      </w:r>
      <w:r>
        <w:rPr>
          <w:rFonts w:asciiTheme="majorBidi" w:hAnsiTheme="majorBidi"/>
          <w:lang w:bidi="ar-JO"/>
        </w:rPr>
        <w:t xml:space="preserve">trend </w:t>
      </w:r>
      <w:r w:rsidRPr="00DA5948">
        <w:rPr>
          <w:rFonts w:asciiTheme="majorBidi" w:hAnsiTheme="majorBidi"/>
          <w:lang w:bidi="ar-JO"/>
        </w:rPr>
        <w:t xml:space="preserve">is consistent with the picture in Figure 1. </w:t>
      </w:r>
      <w:r>
        <w:rPr>
          <w:rFonts w:asciiTheme="majorBidi" w:hAnsiTheme="majorBidi"/>
          <w:lang w:bidi="ar-JO"/>
        </w:rPr>
        <w:t xml:space="preserve">Furthermore, figure 2 illustrates that </w:t>
      </w:r>
      <w:r w:rsidRPr="00DA5948">
        <w:rPr>
          <w:rFonts w:asciiTheme="majorBidi" w:hAnsiTheme="majorBidi"/>
          <w:lang w:bidi="ar-JO"/>
        </w:rPr>
        <w:t>MENA’s openness w</w:t>
      </w:r>
      <w:r>
        <w:rPr>
          <w:rFonts w:asciiTheme="majorBidi" w:hAnsiTheme="majorBidi"/>
          <w:lang w:bidi="ar-JO"/>
        </w:rPr>
        <w:t>as never below the world ratio.</w:t>
      </w:r>
    </w:p>
    <w:p w:rsidR="00592824" w:rsidRDefault="00592824" w:rsidP="00592824">
      <w:pPr>
        <w:bidi w:val="0"/>
        <w:spacing w:after="0" w:line="360" w:lineRule="auto"/>
        <w:jc w:val="both"/>
        <w:rPr>
          <w:rFonts w:asciiTheme="majorBidi" w:hAnsiTheme="majorBidi"/>
          <w:lang w:bidi="ar-JO"/>
        </w:rPr>
      </w:pPr>
      <w:r w:rsidRPr="004D76AB">
        <w:rPr>
          <w:rFonts w:asciiTheme="majorBidi" w:hAnsiTheme="majorBidi"/>
          <w:noProof/>
          <w:lang w:val="en-GB" w:eastAsia="en-GB"/>
        </w:rPr>
        <w:lastRenderedPageBreak/>
        <w:drawing>
          <wp:inline distT="0" distB="0" distL="0" distR="0">
            <wp:extent cx="527685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2824" w:rsidRPr="00DA5948" w:rsidRDefault="00592824" w:rsidP="00592824">
      <w:pPr>
        <w:bidi w:val="0"/>
        <w:spacing w:line="360" w:lineRule="auto"/>
        <w:jc w:val="both"/>
        <w:rPr>
          <w:rFonts w:asciiTheme="majorBidi" w:hAnsiTheme="majorBidi"/>
          <w:sz w:val="20"/>
          <w:szCs w:val="20"/>
          <w:lang w:bidi="ar-JO"/>
        </w:rPr>
      </w:pPr>
      <w:r w:rsidRPr="00DA5948">
        <w:rPr>
          <w:rFonts w:asciiTheme="majorBidi" w:hAnsiTheme="majorBidi"/>
          <w:sz w:val="20"/>
          <w:szCs w:val="20"/>
          <w:lang w:bidi="ar-JO"/>
        </w:rPr>
        <w:t xml:space="preserve">Source: </w:t>
      </w:r>
      <w:proofErr w:type="spellStart"/>
      <w:r w:rsidRPr="00DA5948">
        <w:rPr>
          <w:rFonts w:asciiTheme="majorBidi" w:hAnsiTheme="majorBidi"/>
          <w:sz w:val="20"/>
          <w:szCs w:val="20"/>
          <w:lang w:bidi="ar-JO"/>
        </w:rPr>
        <w:t>UNCTADstat</w:t>
      </w:r>
      <w:proofErr w:type="spellEnd"/>
      <w:r w:rsidRPr="00DA5948">
        <w:rPr>
          <w:rFonts w:asciiTheme="majorBidi" w:hAnsiTheme="majorBidi"/>
          <w:sz w:val="20"/>
          <w:szCs w:val="20"/>
          <w:lang w:bidi="ar-JO"/>
        </w:rPr>
        <w:t xml:space="preserve"> and author's own calculations.</w:t>
      </w:r>
      <w:r w:rsidRPr="00DA5948">
        <w:rPr>
          <w:rFonts w:asciiTheme="majorBidi" w:hAnsiTheme="majorBidi"/>
          <w:lang w:bidi="ar-JO"/>
        </w:rPr>
        <w:tab/>
      </w:r>
    </w:p>
    <w:p w:rsidR="00592824" w:rsidRPr="00DA5948" w:rsidRDefault="00592824" w:rsidP="00592824">
      <w:pPr>
        <w:bidi w:val="0"/>
        <w:spacing w:line="360" w:lineRule="auto"/>
        <w:jc w:val="both"/>
        <w:rPr>
          <w:rFonts w:asciiTheme="majorBidi" w:hAnsiTheme="majorBidi"/>
          <w:lang w:bidi="ar-JO"/>
        </w:rPr>
      </w:pPr>
      <w:r w:rsidRPr="00DA5948">
        <w:rPr>
          <w:rFonts w:asciiTheme="majorBidi" w:hAnsiTheme="majorBidi"/>
          <w:lang w:bidi="ar-JO"/>
        </w:rPr>
        <w:t>Figure 3 compares</w:t>
      </w:r>
      <w:r>
        <w:rPr>
          <w:rFonts w:asciiTheme="majorBidi" w:hAnsiTheme="majorBidi"/>
          <w:lang w:bidi="ar-JO"/>
        </w:rPr>
        <w:t xml:space="preserve"> the</w:t>
      </w:r>
      <w:r w:rsidRPr="00DA5948">
        <w:rPr>
          <w:rFonts w:asciiTheme="majorBidi" w:hAnsiTheme="majorBidi"/>
          <w:lang w:bidi="ar-JO"/>
        </w:rPr>
        <w:t xml:space="preserve"> total service trade-GDP ratios in 2008 for </w:t>
      </w:r>
      <w:r>
        <w:rPr>
          <w:rFonts w:asciiTheme="majorBidi" w:hAnsiTheme="majorBidi"/>
          <w:lang w:bidi="ar-JO"/>
        </w:rPr>
        <w:t xml:space="preserve">the </w:t>
      </w:r>
      <w:r w:rsidRPr="00DA5948">
        <w:rPr>
          <w:rFonts w:asciiTheme="majorBidi" w:hAnsiTheme="majorBidi"/>
          <w:lang w:bidi="ar-JO"/>
        </w:rPr>
        <w:t>individual MENA countries. Most countries in the region witnessed an overall rise in</w:t>
      </w:r>
      <w:r>
        <w:rPr>
          <w:rFonts w:asciiTheme="majorBidi" w:hAnsiTheme="majorBidi"/>
          <w:lang w:bidi="ar-JO"/>
        </w:rPr>
        <w:t xml:space="preserve"> the</w:t>
      </w:r>
      <w:r w:rsidRPr="00DA5948">
        <w:rPr>
          <w:rFonts w:asciiTheme="majorBidi" w:hAnsiTheme="majorBidi"/>
          <w:lang w:bidi="ar-JO"/>
        </w:rPr>
        <w:t xml:space="preserve"> total service trade relative to</w:t>
      </w:r>
      <w:r>
        <w:rPr>
          <w:rFonts w:asciiTheme="majorBidi" w:hAnsiTheme="majorBidi"/>
          <w:lang w:bidi="ar-JO"/>
        </w:rPr>
        <w:t xml:space="preserve"> the</w:t>
      </w:r>
      <w:r w:rsidRPr="00DA5948">
        <w:rPr>
          <w:rFonts w:asciiTheme="majorBidi" w:hAnsiTheme="majorBidi"/>
          <w:lang w:bidi="ar-JO"/>
        </w:rPr>
        <w:t xml:space="preserve"> GDP. Only a handful of countries had a larger ratio than other world aggregates, namely the UAE, Occupied Palestinian Territory, Morocco, Tunisia, Egypt, Mauritania, Bahrain, Jordan, Iraq, and Lebanon.</w:t>
      </w:r>
    </w:p>
    <w:p w:rsidR="00592824" w:rsidRPr="00C17E1A" w:rsidRDefault="00592824" w:rsidP="00592824">
      <w:pPr>
        <w:bidi w:val="0"/>
        <w:spacing w:line="360" w:lineRule="auto"/>
        <w:jc w:val="both"/>
        <w:rPr>
          <w:rFonts w:asciiTheme="majorBidi" w:hAnsiTheme="majorBidi"/>
          <w:iCs/>
          <w:lang w:bidi="ar-JO"/>
        </w:rPr>
      </w:pPr>
      <w:r>
        <w:rPr>
          <w:rFonts w:asciiTheme="majorBidi" w:hAnsiTheme="majorBidi"/>
          <w:lang w:bidi="ar-JO"/>
        </w:rPr>
        <w:lastRenderedPageBreak/>
        <w:t xml:space="preserve"> </w:t>
      </w:r>
      <w:r w:rsidRPr="00CD3320">
        <w:rPr>
          <w:rFonts w:asciiTheme="majorBidi" w:hAnsiTheme="majorBidi"/>
          <w:noProof/>
          <w:lang w:val="en-GB" w:eastAsia="en-GB"/>
        </w:rPr>
        <w:drawing>
          <wp:inline distT="0" distB="0" distL="0" distR="0">
            <wp:extent cx="5274310" cy="4114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2824" w:rsidRPr="00DA5948" w:rsidRDefault="00592824" w:rsidP="00592824">
      <w:pPr>
        <w:bidi w:val="0"/>
        <w:spacing w:line="360" w:lineRule="auto"/>
        <w:jc w:val="both"/>
        <w:rPr>
          <w:rFonts w:asciiTheme="majorBidi" w:hAnsiTheme="majorBidi"/>
          <w:sz w:val="20"/>
          <w:szCs w:val="20"/>
          <w:lang w:bidi="ar-JO"/>
        </w:rPr>
      </w:pPr>
      <w:r w:rsidRPr="00DA5948">
        <w:rPr>
          <w:rFonts w:asciiTheme="majorBidi" w:hAnsiTheme="majorBidi"/>
          <w:sz w:val="20"/>
          <w:szCs w:val="20"/>
          <w:lang w:bidi="ar-JO"/>
        </w:rPr>
        <w:t xml:space="preserve">Source: </w:t>
      </w:r>
      <w:proofErr w:type="spellStart"/>
      <w:r w:rsidRPr="00DA5948">
        <w:rPr>
          <w:rFonts w:asciiTheme="majorBidi" w:hAnsiTheme="majorBidi"/>
          <w:sz w:val="20"/>
          <w:szCs w:val="20"/>
          <w:lang w:bidi="ar-JO"/>
        </w:rPr>
        <w:t>UNCTADstat</w:t>
      </w:r>
      <w:proofErr w:type="spellEnd"/>
      <w:r w:rsidRPr="00DA5948">
        <w:rPr>
          <w:rFonts w:asciiTheme="majorBidi" w:hAnsiTheme="majorBidi"/>
          <w:sz w:val="20"/>
          <w:szCs w:val="20"/>
          <w:lang w:bidi="ar-JO"/>
        </w:rPr>
        <w:t xml:space="preserve"> and author's own calculations.</w:t>
      </w:r>
    </w:p>
    <w:p w:rsidR="00592824" w:rsidRPr="00DA5948" w:rsidRDefault="00592824" w:rsidP="00592824">
      <w:pPr>
        <w:bidi w:val="0"/>
        <w:spacing w:line="360" w:lineRule="auto"/>
        <w:jc w:val="both"/>
        <w:rPr>
          <w:rFonts w:asciiTheme="majorBidi" w:hAnsiTheme="majorBidi"/>
          <w:lang w:bidi="ar-JO"/>
        </w:rPr>
      </w:pPr>
      <w:r w:rsidRPr="00DA5948">
        <w:rPr>
          <w:rFonts w:asciiTheme="majorBidi" w:hAnsiTheme="majorBidi"/>
          <w:lang w:bidi="ar-JO"/>
        </w:rPr>
        <w:t>Figure 4 compares trade-GDP ratios in the mid 90s and</w:t>
      </w:r>
      <w:r>
        <w:rPr>
          <w:rFonts w:asciiTheme="majorBidi" w:hAnsiTheme="majorBidi"/>
          <w:lang w:bidi="ar-JO"/>
        </w:rPr>
        <w:t xml:space="preserve"> between the years 07-10 </w:t>
      </w:r>
      <w:r w:rsidRPr="00DA5948">
        <w:rPr>
          <w:rFonts w:asciiTheme="majorBidi" w:hAnsiTheme="majorBidi"/>
          <w:lang w:bidi="ar-JO"/>
        </w:rPr>
        <w:t>for individual MENA countries. The ov</w:t>
      </w:r>
      <w:r>
        <w:rPr>
          <w:rFonts w:asciiTheme="majorBidi" w:hAnsiTheme="majorBidi"/>
          <w:lang w:bidi="ar-JO"/>
        </w:rPr>
        <w:t xml:space="preserve">erall rise seen in aggregate represents </w:t>
      </w:r>
      <w:r w:rsidRPr="00DA5948">
        <w:rPr>
          <w:rFonts w:asciiTheme="majorBidi" w:hAnsiTheme="majorBidi"/>
          <w:lang w:bidi="ar-JO"/>
        </w:rPr>
        <w:t xml:space="preserve">most countries in the region. Although </w:t>
      </w:r>
      <w:r>
        <w:rPr>
          <w:rFonts w:asciiTheme="majorBidi" w:hAnsiTheme="majorBidi"/>
          <w:lang w:bidi="ar-JO"/>
        </w:rPr>
        <w:t>with some</w:t>
      </w:r>
      <w:r w:rsidRPr="00DA5948">
        <w:rPr>
          <w:rFonts w:asciiTheme="majorBidi" w:hAnsiTheme="majorBidi"/>
          <w:lang w:bidi="ar-JO"/>
        </w:rPr>
        <w:t xml:space="preserve"> variation, most countries </w:t>
      </w:r>
      <w:r>
        <w:rPr>
          <w:rFonts w:asciiTheme="majorBidi" w:hAnsiTheme="majorBidi"/>
          <w:lang w:bidi="ar-JO"/>
        </w:rPr>
        <w:t>experienced</w:t>
      </w:r>
      <w:r w:rsidRPr="00DA5948">
        <w:rPr>
          <w:rFonts w:asciiTheme="majorBidi" w:hAnsiTheme="majorBidi"/>
          <w:lang w:bidi="ar-JO"/>
        </w:rPr>
        <w:t xml:space="preserve"> a rise in their trade openness. We also place the countries in the context of global aggregates. The lighter bars are towards the right of the graph, which roughly indicates that most MENA countries have higher trade-GDP ratios than developed and developing countries alike. However, it is clear that rises in trade-GDP ratios took place in the rest of the world as well, w</w:t>
      </w:r>
      <w:r>
        <w:rPr>
          <w:rFonts w:asciiTheme="majorBidi" w:hAnsiTheme="majorBidi"/>
          <w:lang w:bidi="ar-JO"/>
        </w:rPr>
        <w:t>hich we will describe in more</w:t>
      </w:r>
      <w:r w:rsidRPr="00DA5948">
        <w:rPr>
          <w:rFonts w:asciiTheme="majorBidi" w:hAnsiTheme="majorBidi"/>
          <w:lang w:bidi="ar-JO"/>
        </w:rPr>
        <w:t xml:space="preserve"> detail shortly.</w:t>
      </w:r>
    </w:p>
    <w:p w:rsidR="00592824" w:rsidRDefault="00592824" w:rsidP="00592824">
      <w:pPr>
        <w:bidi w:val="0"/>
        <w:spacing w:after="0" w:line="360" w:lineRule="auto"/>
        <w:jc w:val="both"/>
        <w:rPr>
          <w:rFonts w:asciiTheme="majorBidi" w:hAnsiTheme="majorBidi"/>
          <w:lang w:bidi="ar-JO"/>
        </w:rPr>
      </w:pPr>
      <w:r w:rsidRPr="0069345F">
        <w:rPr>
          <w:rFonts w:asciiTheme="majorBidi" w:hAnsiTheme="majorBidi"/>
          <w:noProof/>
          <w:lang w:val="en-GB" w:eastAsia="en-GB"/>
        </w:rPr>
        <w:lastRenderedPageBreak/>
        <w:drawing>
          <wp:inline distT="0" distB="0" distL="0" distR="0">
            <wp:extent cx="5274310" cy="49720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2824" w:rsidRPr="00B87E2F" w:rsidRDefault="00592824" w:rsidP="00592824">
      <w:pPr>
        <w:bidi w:val="0"/>
        <w:spacing w:line="360" w:lineRule="auto"/>
        <w:jc w:val="both"/>
        <w:rPr>
          <w:rFonts w:asciiTheme="majorBidi" w:hAnsiTheme="majorBidi"/>
          <w:sz w:val="20"/>
          <w:szCs w:val="20"/>
          <w:lang w:bidi="ar-JO"/>
        </w:rPr>
      </w:pPr>
      <w:r w:rsidRPr="00B87E2F">
        <w:rPr>
          <w:rFonts w:asciiTheme="majorBidi" w:hAnsiTheme="majorBidi"/>
          <w:sz w:val="20"/>
          <w:szCs w:val="20"/>
          <w:lang w:bidi="ar-JO"/>
        </w:rPr>
        <w:t xml:space="preserve">Source: </w:t>
      </w:r>
      <w:proofErr w:type="spellStart"/>
      <w:r w:rsidRPr="00B87E2F">
        <w:rPr>
          <w:rFonts w:asciiTheme="majorBidi" w:hAnsiTheme="majorBidi"/>
          <w:sz w:val="20"/>
          <w:szCs w:val="20"/>
          <w:lang w:bidi="ar-JO"/>
        </w:rPr>
        <w:t>UNCTADstat</w:t>
      </w:r>
      <w:proofErr w:type="spellEnd"/>
      <w:r w:rsidRPr="00B87E2F">
        <w:rPr>
          <w:rFonts w:asciiTheme="majorBidi" w:hAnsiTheme="majorBidi"/>
          <w:sz w:val="20"/>
          <w:szCs w:val="20"/>
          <w:lang w:bidi="ar-JO"/>
        </w:rPr>
        <w:t xml:space="preserve"> and author's own calculations.</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The service sector currently represents 42.39% of</w:t>
      </w:r>
      <w:r>
        <w:rPr>
          <w:rFonts w:asciiTheme="majorBidi" w:hAnsiTheme="majorBidi"/>
          <w:lang w:bidi="ar-JO"/>
        </w:rPr>
        <w:t xml:space="preserve"> the</w:t>
      </w:r>
      <w:r w:rsidRPr="00B87E2F">
        <w:rPr>
          <w:rFonts w:asciiTheme="majorBidi" w:hAnsiTheme="majorBidi"/>
          <w:lang w:bidi="ar-JO"/>
        </w:rPr>
        <w:t xml:space="preserve"> total GDP in the MENA region, lagging behind all the o</w:t>
      </w:r>
      <w:r>
        <w:rPr>
          <w:rFonts w:asciiTheme="majorBidi" w:hAnsiTheme="majorBidi"/>
          <w:lang w:bidi="ar-JO"/>
        </w:rPr>
        <w:t>ther regions, the developed countries</w:t>
      </w:r>
      <w:r w:rsidRPr="00B87E2F">
        <w:rPr>
          <w:rFonts w:asciiTheme="majorBidi" w:hAnsiTheme="majorBidi"/>
          <w:lang w:bidi="ar-JO"/>
        </w:rPr>
        <w:t xml:space="preserve"> like North America (77.35%) and Europe (73.55%) as well as the developing ones like Sub-Saharan Africa (57.2%). While the share of service value added in GDP tends to rise significantly with the countries’ level of income, standing at 73.43% on average in high income countries, against 55.3% and 49.91% respectively in middle and low income countries, the picture looks different when MENA countries are analyzed individually. In most countries, the production of services is a core economic activity although significant differences exist between different income groups as well as within the same group. For instance, in some high-income economies like Kuwait, Oman, Saudi Arabia and United Arab Emirates, services represent around 40% of GDP while in Malta, another high-income country, they account for 65.19% of GDP, which is above the share of both industry and agriculture</w:t>
      </w:r>
      <w:r>
        <w:rPr>
          <w:rFonts w:asciiTheme="majorBidi" w:hAnsiTheme="majorBidi"/>
          <w:lang w:bidi="ar-JO"/>
        </w:rPr>
        <w:t xml:space="preserve"> sectors</w:t>
      </w:r>
      <w:r w:rsidRPr="00B87E2F">
        <w:rPr>
          <w:rFonts w:asciiTheme="majorBidi" w:hAnsiTheme="majorBidi"/>
          <w:lang w:bidi="ar-JO"/>
        </w:rPr>
        <w:t xml:space="preserve">. Also, in some lower </w:t>
      </w:r>
      <w:r w:rsidRPr="00B87E2F">
        <w:rPr>
          <w:rFonts w:asciiTheme="majorBidi" w:hAnsiTheme="majorBidi"/>
          <w:lang w:bidi="ar-JO"/>
        </w:rPr>
        <w:lastRenderedPageBreak/>
        <w:t>and upper middle income countries like Djibouti, Lebanon and Jordan, the share of the service sector in GDP is around 70% while in others like Iraq and Libya, it barely reaches 20%. Besides, it is worth noting that, with some exceptions, the general trend is an increase in the share of services in GDP between 2000 and 2009.</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The current importance of services as reflected by their contribution to GDP is also mirrored in employment statistics. The figure is bigger in high-income countries like Israel, Kuwait, Malta, Saudi Arabia, Oman and the United Arab Emirates, above 70% of</w:t>
      </w:r>
      <w:r>
        <w:rPr>
          <w:rFonts w:asciiTheme="majorBidi" w:hAnsiTheme="majorBidi"/>
          <w:lang w:bidi="ar-JO"/>
        </w:rPr>
        <w:t xml:space="preserve"> the</w:t>
      </w:r>
      <w:r w:rsidRPr="00B87E2F">
        <w:rPr>
          <w:rFonts w:asciiTheme="majorBidi" w:hAnsiTheme="majorBidi"/>
          <w:lang w:bidi="ar-JO"/>
        </w:rPr>
        <w:t xml:space="preserve"> total employment, although the contribution of services to </w:t>
      </w:r>
      <w:r>
        <w:rPr>
          <w:rFonts w:asciiTheme="majorBidi" w:hAnsiTheme="majorBidi"/>
          <w:lang w:bidi="ar-JO"/>
        </w:rPr>
        <w:t xml:space="preserve">the </w:t>
      </w:r>
      <w:r w:rsidRPr="00B87E2F">
        <w:rPr>
          <w:rFonts w:asciiTheme="majorBidi" w:hAnsiTheme="majorBidi"/>
          <w:lang w:bidi="ar-JO"/>
        </w:rPr>
        <w:t>GDP is only around 40%. Interestingly, the share of services in total employment in Morocco is cut by half between 2000 and 2009, although the share of services in GDP remained almost constan</w:t>
      </w:r>
      <w:r>
        <w:rPr>
          <w:rFonts w:asciiTheme="majorBidi" w:hAnsiTheme="majorBidi"/>
          <w:lang w:bidi="ar-JO"/>
        </w:rPr>
        <w:t>t over many</w:t>
      </w:r>
      <w:r w:rsidRPr="00B87E2F">
        <w:rPr>
          <w:rFonts w:asciiTheme="majorBidi" w:hAnsiTheme="majorBidi"/>
          <w:lang w:bidi="ar-JO"/>
        </w:rPr>
        <w:t xml:space="preserve"> years.</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Given these figures, one may be surprised to see that trade in services as a percentage of GDP lags behind, representing only 19.4% of</w:t>
      </w:r>
      <w:r>
        <w:rPr>
          <w:rFonts w:asciiTheme="majorBidi" w:hAnsiTheme="majorBidi"/>
          <w:lang w:bidi="ar-JO"/>
        </w:rPr>
        <w:t xml:space="preserve"> the</w:t>
      </w:r>
      <w:r w:rsidRPr="00B87E2F">
        <w:rPr>
          <w:rFonts w:asciiTheme="majorBidi" w:hAnsiTheme="majorBidi"/>
          <w:lang w:bidi="ar-JO"/>
        </w:rPr>
        <w:t xml:space="preserve"> total GDP in the MENA region in 2008 (Figure 3</w:t>
      </w:r>
      <w:r>
        <w:rPr>
          <w:rFonts w:asciiTheme="majorBidi" w:hAnsiTheme="majorBidi"/>
          <w:lang w:bidi="ar-JO"/>
        </w:rPr>
        <w:t>). However, it is surprising</w:t>
      </w:r>
      <w:r w:rsidRPr="00B87E2F">
        <w:rPr>
          <w:rFonts w:asciiTheme="majorBidi" w:hAnsiTheme="majorBidi"/>
          <w:lang w:bidi="ar-JO"/>
        </w:rPr>
        <w:t xml:space="preserve"> </w:t>
      </w:r>
      <w:r>
        <w:rPr>
          <w:rFonts w:asciiTheme="majorBidi" w:hAnsiTheme="majorBidi"/>
          <w:lang w:bidi="ar-JO"/>
        </w:rPr>
        <w:t xml:space="preserve">that </w:t>
      </w:r>
      <w:r w:rsidRPr="00B87E2F">
        <w:rPr>
          <w:rFonts w:asciiTheme="majorBidi" w:hAnsiTheme="majorBidi"/>
          <w:lang w:bidi="ar-JO"/>
        </w:rPr>
        <w:t xml:space="preserve">this figure is the highest among regions and in comparison </w:t>
      </w:r>
      <w:r>
        <w:rPr>
          <w:rFonts w:asciiTheme="majorBidi" w:hAnsiTheme="majorBidi"/>
          <w:lang w:bidi="ar-JO"/>
        </w:rPr>
        <w:t>to</w:t>
      </w:r>
      <w:r w:rsidRPr="00B87E2F">
        <w:rPr>
          <w:rFonts w:asciiTheme="majorBidi" w:hAnsiTheme="majorBidi"/>
          <w:lang w:bidi="ar-JO"/>
        </w:rPr>
        <w:t xml:space="preserve"> the averages for low, middle and high income countries. Such a high share of trade in </w:t>
      </w:r>
      <w:r>
        <w:rPr>
          <w:rFonts w:asciiTheme="majorBidi" w:hAnsiTheme="majorBidi"/>
          <w:lang w:bidi="ar-JO"/>
        </w:rPr>
        <w:t>services in GDP is mainly due to</w:t>
      </w:r>
      <w:r w:rsidRPr="00B87E2F">
        <w:rPr>
          <w:rFonts w:asciiTheme="majorBidi" w:hAnsiTheme="majorBidi"/>
          <w:lang w:bidi="ar-JO"/>
        </w:rPr>
        <w:t xml:space="preserve"> countries like Lebanon </w:t>
      </w:r>
      <w:r>
        <w:rPr>
          <w:rFonts w:asciiTheme="majorBidi" w:hAnsiTheme="majorBidi"/>
          <w:lang w:bidi="ar-JO"/>
        </w:rPr>
        <w:t>whose figure equals</w:t>
      </w:r>
      <w:r w:rsidRPr="00B87E2F">
        <w:rPr>
          <w:rFonts w:asciiTheme="majorBidi" w:hAnsiTheme="majorBidi"/>
          <w:lang w:bidi="ar-JO"/>
        </w:rPr>
        <w:t xml:space="preserve"> 103.7 percent. Figure 3 also shows that significant differences exist between countries within the same income group. For instance, high income countries have a share of service trade </w:t>
      </w:r>
      <w:r>
        <w:rPr>
          <w:rFonts w:asciiTheme="majorBidi" w:hAnsiTheme="majorBidi"/>
          <w:lang w:bidi="ar-JO"/>
        </w:rPr>
        <w:t>to</w:t>
      </w:r>
      <w:r w:rsidRPr="00B87E2F">
        <w:rPr>
          <w:rFonts w:asciiTheme="majorBidi" w:hAnsiTheme="majorBidi"/>
          <w:lang w:bidi="ar-JO"/>
        </w:rPr>
        <w:t xml:space="preserve"> GDP</w:t>
      </w:r>
      <w:r>
        <w:rPr>
          <w:rFonts w:asciiTheme="majorBidi" w:hAnsiTheme="majorBidi"/>
          <w:lang w:bidi="ar-JO"/>
        </w:rPr>
        <w:t xml:space="preserve"> reaching</w:t>
      </w:r>
      <w:r w:rsidRPr="00B87E2F">
        <w:rPr>
          <w:rFonts w:asciiTheme="majorBidi" w:hAnsiTheme="majorBidi"/>
          <w:lang w:bidi="ar-JO"/>
        </w:rPr>
        <w:t xml:space="preserve"> only about 20-25%. For low and middle income countries other than Lebanon and Jordan, trade</w:t>
      </w:r>
      <w:r>
        <w:rPr>
          <w:rFonts w:asciiTheme="majorBidi" w:hAnsiTheme="majorBidi"/>
          <w:lang w:bidi="ar-JO"/>
        </w:rPr>
        <w:t xml:space="preserve"> in services barely reaches 15%.</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Moreover, when we observe the share of services in total trade, the picture does not look brighter (Figure 5</w:t>
      </w:r>
      <w:r>
        <w:rPr>
          <w:rFonts w:asciiTheme="majorBidi" w:hAnsiTheme="majorBidi"/>
          <w:lang w:bidi="ar-JO"/>
        </w:rPr>
        <w:t xml:space="preserve">). Service trade only accounted </w:t>
      </w:r>
      <w:r w:rsidRPr="00B87E2F">
        <w:rPr>
          <w:rFonts w:asciiTheme="majorBidi" w:hAnsiTheme="majorBidi"/>
          <w:lang w:bidi="ar-JO"/>
        </w:rPr>
        <w:t>16.7 percent of global trade flows in the MENA region in 2008. At the country level, only Lebanon displays a high percentage of service trade (above 45%).</w:t>
      </w:r>
    </w:p>
    <w:p w:rsidR="00592824" w:rsidRDefault="00592824" w:rsidP="00592824">
      <w:pPr>
        <w:bidi w:val="0"/>
        <w:spacing w:after="0" w:line="360" w:lineRule="auto"/>
        <w:jc w:val="both"/>
        <w:rPr>
          <w:rFonts w:asciiTheme="majorBidi" w:hAnsiTheme="majorBidi"/>
          <w:lang w:bidi="ar-JO"/>
        </w:rPr>
      </w:pPr>
      <w:r w:rsidRPr="00FF03B8">
        <w:rPr>
          <w:rFonts w:asciiTheme="majorBidi" w:hAnsiTheme="majorBidi"/>
          <w:noProof/>
          <w:lang w:val="en-GB" w:eastAsia="en-GB"/>
        </w:rPr>
        <w:lastRenderedPageBreak/>
        <w:drawing>
          <wp:inline distT="0" distB="0" distL="0" distR="0">
            <wp:extent cx="5274310" cy="36099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2824" w:rsidRPr="00B87E2F" w:rsidRDefault="00592824" w:rsidP="00592824">
      <w:pPr>
        <w:bidi w:val="0"/>
        <w:spacing w:line="360" w:lineRule="auto"/>
        <w:jc w:val="both"/>
        <w:rPr>
          <w:rFonts w:asciiTheme="majorBidi" w:hAnsiTheme="majorBidi"/>
          <w:sz w:val="20"/>
          <w:szCs w:val="20"/>
          <w:lang w:bidi="ar-JO"/>
        </w:rPr>
      </w:pPr>
      <w:r w:rsidRPr="00B87E2F">
        <w:rPr>
          <w:rFonts w:asciiTheme="majorBidi" w:hAnsiTheme="majorBidi"/>
          <w:sz w:val="20"/>
          <w:szCs w:val="20"/>
          <w:lang w:bidi="ar-JO"/>
        </w:rPr>
        <w:t xml:space="preserve">Source: </w:t>
      </w:r>
      <w:proofErr w:type="spellStart"/>
      <w:r w:rsidRPr="00B87E2F">
        <w:rPr>
          <w:rFonts w:asciiTheme="majorBidi" w:hAnsiTheme="majorBidi"/>
          <w:sz w:val="20"/>
          <w:szCs w:val="20"/>
          <w:lang w:bidi="ar-JO"/>
        </w:rPr>
        <w:t>UNCTADstat</w:t>
      </w:r>
      <w:proofErr w:type="spellEnd"/>
      <w:r w:rsidRPr="00B87E2F">
        <w:rPr>
          <w:rFonts w:asciiTheme="majorBidi" w:hAnsiTheme="majorBidi"/>
          <w:sz w:val="20"/>
          <w:szCs w:val="20"/>
          <w:lang w:bidi="ar-JO"/>
        </w:rPr>
        <w:t xml:space="preserve"> and author's own calculations.</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Once trade is disaggregated i</w:t>
      </w:r>
      <w:r>
        <w:rPr>
          <w:rFonts w:asciiTheme="majorBidi" w:hAnsiTheme="majorBidi"/>
          <w:lang w:bidi="ar-JO"/>
        </w:rPr>
        <w:t xml:space="preserve">nto exports and imports, we </w:t>
      </w:r>
      <w:r w:rsidRPr="00B87E2F">
        <w:rPr>
          <w:rFonts w:asciiTheme="majorBidi" w:hAnsiTheme="majorBidi"/>
          <w:lang w:bidi="ar-JO"/>
        </w:rPr>
        <w:t xml:space="preserve">notice that the share of </w:t>
      </w:r>
      <w:r w:rsidRPr="00B87E2F">
        <w:rPr>
          <w:rFonts w:asciiTheme="majorBidi" w:hAnsiTheme="majorBidi"/>
          <w:lang w:bidi="ar-JO"/>
        </w:rPr>
        <w:br/>
        <w:t>services in total exports and total imports is still low, respectively 19.96% and 32.02% (Figure 6). At the country level, the picture is different. Lebanon, Egypt, Jordan, Morocco and the West Bank (Occupied Palestinian Territory) all exhibit high shares of services in total exports (above 30.0 percent), and much lower shares of services in total imports. By contrast, service exports in Libya, Iraq, Saudi Arabia and Oman represent a small percentage of total exports (below 10.0 percent) while service imports account for a much bigger share of total imports.</w:t>
      </w:r>
    </w:p>
    <w:p w:rsidR="00592824" w:rsidRPr="00B87E2F" w:rsidRDefault="00592824" w:rsidP="00592824">
      <w:pPr>
        <w:bidi w:val="0"/>
        <w:spacing w:line="360" w:lineRule="auto"/>
        <w:jc w:val="both"/>
        <w:rPr>
          <w:rFonts w:asciiTheme="majorBidi" w:hAnsiTheme="majorBidi"/>
          <w:sz w:val="20"/>
          <w:szCs w:val="20"/>
          <w:lang w:bidi="ar-JO"/>
        </w:rPr>
      </w:pPr>
      <w:r w:rsidRPr="00FF03B8">
        <w:rPr>
          <w:rFonts w:asciiTheme="majorBidi" w:hAnsiTheme="majorBidi"/>
          <w:noProof/>
          <w:lang w:val="en-GB" w:eastAsia="en-GB"/>
        </w:rPr>
        <w:lastRenderedPageBreak/>
        <w:drawing>
          <wp:inline distT="0" distB="0" distL="0" distR="0">
            <wp:extent cx="5274310" cy="3667125"/>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87E2F">
        <w:rPr>
          <w:rFonts w:asciiTheme="majorBidi" w:hAnsiTheme="majorBidi"/>
          <w:lang w:bidi="ar-JO"/>
        </w:rPr>
        <w:t xml:space="preserve"> </w:t>
      </w:r>
      <w:r w:rsidRPr="00B87E2F">
        <w:rPr>
          <w:rFonts w:asciiTheme="majorBidi" w:hAnsiTheme="majorBidi"/>
          <w:sz w:val="20"/>
          <w:szCs w:val="20"/>
          <w:lang w:bidi="ar-JO"/>
        </w:rPr>
        <w:t xml:space="preserve">Source: </w:t>
      </w:r>
      <w:proofErr w:type="spellStart"/>
      <w:r w:rsidRPr="00B87E2F">
        <w:rPr>
          <w:rFonts w:asciiTheme="majorBidi" w:hAnsiTheme="majorBidi"/>
          <w:sz w:val="20"/>
          <w:szCs w:val="20"/>
          <w:lang w:bidi="ar-JO"/>
        </w:rPr>
        <w:t>UNCTADstat</w:t>
      </w:r>
      <w:proofErr w:type="spellEnd"/>
      <w:r w:rsidRPr="00B87E2F">
        <w:rPr>
          <w:rFonts w:asciiTheme="majorBidi" w:hAnsiTheme="majorBidi"/>
          <w:sz w:val="20"/>
          <w:szCs w:val="20"/>
          <w:lang w:bidi="ar-JO"/>
        </w:rPr>
        <w:t xml:space="preserve"> and author's own calculations.</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Despite the low share of service trade in total trade, it is worth mentioning that exports and imports of services both increased in the</w:t>
      </w:r>
      <w:r>
        <w:rPr>
          <w:rFonts w:asciiTheme="majorBidi" w:hAnsiTheme="majorBidi"/>
          <w:lang w:bidi="ar-JO"/>
        </w:rPr>
        <w:t xml:space="preserve"> MENA region since 2000, reaching its </w:t>
      </w:r>
      <w:r w:rsidRPr="00B87E2F">
        <w:rPr>
          <w:rFonts w:asciiTheme="majorBidi" w:hAnsiTheme="majorBidi"/>
          <w:lang w:bidi="ar-JO"/>
        </w:rPr>
        <w:t>peak in 2008, and de</w:t>
      </w:r>
      <w:r>
        <w:rPr>
          <w:rFonts w:asciiTheme="majorBidi" w:hAnsiTheme="majorBidi"/>
          <w:lang w:bidi="ar-JO"/>
        </w:rPr>
        <w:t>clining</w:t>
      </w:r>
      <w:r w:rsidRPr="00B87E2F">
        <w:rPr>
          <w:rFonts w:asciiTheme="majorBidi" w:hAnsiTheme="majorBidi"/>
          <w:lang w:bidi="ar-JO"/>
        </w:rPr>
        <w:t xml:space="preserve"> thereafter (Figure 7). The sharp drop of service trade in 2009 is due to the global economic crisis that sparked a 12.2% contraction in the volume of global trade, the largest decline since World War II (WTO Annual Report, 2010). Figure 7 also shows that the MENA region is a net importer of services.</w:t>
      </w:r>
    </w:p>
    <w:p w:rsidR="00592824" w:rsidRPr="00B87E2F" w:rsidRDefault="00592824" w:rsidP="00592824">
      <w:pPr>
        <w:bidi w:val="0"/>
        <w:spacing w:after="0"/>
        <w:rPr>
          <w:rFonts w:asciiTheme="majorBidi" w:hAnsiTheme="majorBidi"/>
          <w:sz w:val="20"/>
          <w:szCs w:val="20"/>
          <w:lang w:bidi="ar-JO"/>
        </w:rPr>
      </w:pPr>
      <w:r w:rsidRPr="005D0ECB">
        <w:rPr>
          <w:rFonts w:asciiTheme="majorBidi" w:hAnsiTheme="majorBidi"/>
          <w:noProof/>
          <w:lang w:val="en-GB" w:eastAsia="en-GB"/>
        </w:rPr>
        <w:drawing>
          <wp:inline distT="0" distB="0" distL="0" distR="0">
            <wp:extent cx="5274310" cy="2638425"/>
            <wp:effectExtent l="0" t="0" r="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87E2F">
        <w:rPr>
          <w:rFonts w:asciiTheme="majorBidi" w:hAnsiTheme="majorBidi"/>
          <w:sz w:val="20"/>
          <w:szCs w:val="20"/>
          <w:lang w:bidi="ar-JO"/>
        </w:rPr>
        <w:t xml:space="preserve">Source: </w:t>
      </w:r>
      <w:proofErr w:type="spellStart"/>
      <w:r w:rsidRPr="00B87E2F">
        <w:rPr>
          <w:rFonts w:asciiTheme="majorBidi" w:hAnsiTheme="majorBidi"/>
          <w:sz w:val="20"/>
          <w:szCs w:val="20"/>
          <w:lang w:bidi="ar-JO"/>
        </w:rPr>
        <w:t>UNCTADstat</w:t>
      </w:r>
      <w:proofErr w:type="spellEnd"/>
      <w:r w:rsidRPr="00B87E2F">
        <w:rPr>
          <w:rFonts w:asciiTheme="majorBidi" w:hAnsiTheme="majorBidi"/>
          <w:sz w:val="20"/>
          <w:szCs w:val="20"/>
          <w:lang w:bidi="ar-JO"/>
        </w:rPr>
        <w:t xml:space="preserve"> and author's own calculations.</w:t>
      </w:r>
    </w:p>
    <w:p w:rsidR="00592824" w:rsidRPr="00D0758A" w:rsidRDefault="00592824" w:rsidP="00592824">
      <w:pPr>
        <w:pStyle w:val="ListParagraph"/>
        <w:numPr>
          <w:ilvl w:val="0"/>
          <w:numId w:val="1"/>
        </w:numPr>
        <w:bidi w:val="0"/>
        <w:ind w:left="426" w:hanging="426"/>
        <w:outlineLvl w:val="0"/>
        <w:rPr>
          <w:rFonts w:asciiTheme="majorBidi" w:hAnsiTheme="majorBidi"/>
          <w:b/>
          <w:bCs/>
          <w:i/>
          <w:iCs/>
          <w:sz w:val="28"/>
          <w:szCs w:val="28"/>
          <w:lang w:bidi="ar-JO"/>
        </w:rPr>
      </w:pPr>
      <w:bookmarkStart w:id="15" w:name="_Toc316991756"/>
      <w:bookmarkStart w:id="16" w:name="_Toc316992249"/>
      <w:r w:rsidRPr="00D0758A">
        <w:rPr>
          <w:rFonts w:asciiTheme="majorBidi" w:hAnsiTheme="majorBidi"/>
          <w:b/>
          <w:bCs/>
          <w:i/>
          <w:iCs/>
          <w:sz w:val="28"/>
          <w:szCs w:val="28"/>
          <w:lang w:bidi="ar-JO"/>
        </w:rPr>
        <w:lastRenderedPageBreak/>
        <w:t>Results</w:t>
      </w:r>
      <w:bookmarkEnd w:id="15"/>
      <w:bookmarkEnd w:id="16"/>
    </w:p>
    <w:p w:rsidR="00592824" w:rsidRDefault="00592824" w:rsidP="00592824">
      <w:pPr>
        <w:pStyle w:val="ListParagraph"/>
        <w:numPr>
          <w:ilvl w:val="1"/>
          <w:numId w:val="1"/>
        </w:numPr>
        <w:bidi w:val="0"/>
        <w:ind w:left="426"/>
        <w:outlineLvl w:val="1"/>
        <w:rPr>
          <w:rFonts w:asciiTheme="majorBidi" w:hAnsiTheme="majorBidi"/>
          <w:b/>
          <w:bCs/>
          <w:i/>
          <w:iCs/>
          <w:sz w:val="28"/>
          <w:szCs w:val="28"/>
          <w:lang w:bidi="ar-JO"/>
        </w:rPr>
      </w:pPr>
      <w:bookmarkStart w:id="17" w:name="_Toc316991757"/>
      <w:bookmarkStart w:id="18" w:name="_Toc316992250"/>
      <w:r w:rsidRPr="00D0758A">
        <w:rPr>
          <w:rFonts w:asciiTheme="majorBidi" w:hAnsiTheme="majorBidi"/>
          <w:b/>
          <w:bCs/>
          <w:i/>
          <w:iCs/>
          <w:sz w:val="28"/>
          <w:szCs w:val="28"/>
          <w:lang w:bidi="ar-JO"/>
        </w:rPr>
        <w:t>Data and the Sample</w:t>
      </w:r>
      <w:bookmarkEnd w:id="17"/>
      <w:bookmarkEnd w:id="18"/>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Our sample cons</w:t>
      </w:r>
      <w:r>
        <w:rPr>
          <w:rFonts w:asciiTheme="majorBidi" w:hAnsiTheme="majorBidi"/>
          <w:lang w:bidi="ar-JO"/>
        </w:rPr>
        <w:t xml:space="preserve">ists of 19 MENA countries, 12 being members of the WTO. </w:t>
      </w:r>
      <w:r w:rsidRPr="00B87E2F">
        <w:rPr>
          <w:rFonts w:asciiTheme="majorBidi" w:hAnsiTheme="majorBidi"/>
          <w:lang w:bidi="ar-JO"/>
        </w:rPr>
        <w:t xml:space="preserve">The data is compiled from the UNCTAD statistical database and covers the period </w:t>
      </w:r>
      <w:r>
        <w:rPr>
          <w:rFonts w:asciiTheme="majorBidi" w:hAnsiTheme="majorBidi"/>
          <w:lang w:bidi="ar-JO"/>
        </w:rPr>
        <w:t xml:space="preserve">between the years 1994 and </w:t>
      </w:r>
      <w:r w:rsidRPr="00B87E2F">
        <w:rPr>
          <w:rFonts w:asciiTheme="majorBidi" w:hAnsiTheme="majorBidi"/>
          <w:lang w:bidi="ar-JO"/>
        </w:rPr>
        <w:t>2010</w:t>
      </w:r>
      <w:r>
        <w:rPr>
          <w:rFonts w:asciiTheme="majorBidi" w:hAnsiTheme="majorBidi"/>
          <w:lang w:bidi="ar-JO"/>
        </w:rPr>
        <w:t xml:space="preserve">. We shall also </w:t>
      </w:r>
      <w:r w:rsidRPr="00B87E2F">
        <w:rPr>
          <w:rFonts w:asciiTheme="majorBidi" w:hAnsiTheme="majorBidi"/>
          <w:lang w:bidi="ar-JO"/>
        </w:rPr>
        <w:t>focus on four key service sectors, namely travel, transport, communications, and other business services</w:t>
      </w:r>
      <w:r>
        <w:rPr>
          <w:rFonts w:asciiTheme="majorBidi" w:hAnsiTheme="majorBidi"/>
          <w:lang w:bidi="ar-JO"/>
        </w:rPr>
        <w:t xml:space="preserve"> (representing professional services such as consulting, legal counseling, etc)</w:t>
      </w:r>
      <w:r w:rsidRPr="00B87E2F">
        <w:rPr>
          <w:rFonts w:asciiTheme="majorBidi" w:hAnsiTheme="majorBidi"/>
          <w:lang w:bidi="ar-JO"/>
        </w:rPr>
        <w:t>.</w:t>
      </w:r>
      <w:r>
        <w:rPr>
          <w:rFonts w:asciiTheme="majorBidi" w:hAnsiTheme="majorBidi"/>
          <w:lang w:bidi="ar-JO"/>
        </w:rPr>
        <w:t xml:space="preserve"> These sectors were selected based on previous studies that addressed the same topic.</w:t>
      </w:r>
    </w:p>
    <w:p w:rsidR="00592824" w:rsidRDefault="00592824" w:rsidP="00592824">
      <w:pPr>
        <w:pStyle w:val="ListParagraph"/>
        <w:numPr>
          <w:ilvl w:val="1"/>
          <w:numId w:val="1"/>
        </w:numPr>
        <w:bidi w:val="0"/>
        <w:ind w:left="426"/>
        <w:outlineLvl w:val="1"/>
        <w:rPr>
          <w:rFonts w:asciiTheme="majorBidi" w:hAnsiTheme="majorBidi"/>
          <w:b/>
          <w:bCs/>
          <w:i/>
          <w:iCs/>
          <w:sz w:val="28"/>
          <w:szCs w:val="28"/>
          <w:lang w:bidi="ar-JO"/>
        </w:rPr>
      </w:pPr>
      <w:bookmarkStart w:id="19" w:name="_Toc316991758"/>
      <w:bookmarkStart w:id="20" w:name="_Toc316992251"/>
      <w:r>
        <w:rPr>
          <w:rFonts w:asciiTheme="majorBidi" w:hAnsiTheme="majorBidi"/>
          <w:b/>
          <w:bCs/>
          <w:i/>
          <w:iCs/>
          <w:sz w:val="28"/>
          <w:szCs w:val="28"/>
          <w:lang w:bidi="ar-JO"/>
        </w:rPr>
        <w:t>The Competitiveness Matrix</w:t>
      </w:r>
      <w:bookmarkEnd w:id="19"/>
      <w:bookmarkEnd w:id="20"/>
    </w:p>
    <w:p w:rsidR="00592824" w:rsidRPr="00BF4A6A" w:rsidRDefault="00592824" w:rsidP="00592824">
      <w:pPr>
        <w:bidi w:val="0"/>
        <w:spacing w:line="360" w:lineRule="auto"/>
        <w:jc w:val="both"/>
        <w:rPr>
          <w:rStyle w:val="Emphasis"/>
          <w:rFonts w:asciiTheme="majorBidi" w:hAnsiTheme="majorBidi"/>
          <w:i w:val="0"/>
          <w:iCs w:val="0"/>
        </w:rPr>
      </w:pPr>
      <w:r w:rsidRPr="00BF4A6A">
        <w:rPr>
          <w:rStyle w:val="Emphasis"/>
          <w:rFonts w:asciiTheme="majorBidi" w:hAnsiTheme="majorBidi"/>
          <w:i w:val="0"/>
          <w:iCs w:val="0"/>
        </w:rPr>
        <w:t xml:space="preserve">The different sectors of exports of services can be classified according to their international competitiveness through the behavior of the market share and the evolution of world imports over time. In effect, the world market share held by each country in an exported services sector </w:t>
      </w:r>
      <w:r>
        <w:rPr>
          <w:rStyle w:val="Emphasis"/>
          <w:rFonts w:asciiTheme="majorBidi" w:hAnsiTheme="majorBidi"/>
          <w:i w:val="0"/>
          <w:iCs w:val="0"/>
        </w:rPr>
        <w:t xml:space="preserve">which </w:t>
      </w:r>
      <w:r w:rsidRPr="00BF4A6A">
        <w:rPr>
          <w:rStyle w:val="Emphasis"/>
          <w:rFonts w:asciiTheme="majorBidi" w:hAnsiTheme="majorBidi"/>
          <w:i w:val="0"/>
          <w:iCs w:val="0"/>
        </w:rPr>
        <w:t>can increase or diminish throughout time, and such modifications simultaneously take place with the increases or declines that the exporting activity registers in the world import market. This allows classif</w:t>
      </w:r>
      <w:r>
        <w:rPr>
          <w:rStyle w:val="Emphasis"/>
          <w:rFonts w:asciiTheme="majorBidi" w:hAnsiTheme="majorBidi"/>
          <w:i w:val="0"/>
          <w:iCs w:val="0"/>
        </w:rPr>
        <w:t xml:space="preserve">ying the exporting sectors as </w:t>
      </w:r>
      <w:r w:rsidRPr="00BF4A6A">
        <w:rPr>
          <w:rStyle w:val="Emphasis"/>
          <w:rFonts w:asciiTheme="majorBidi" w:hAnsiTheme="majorBidi"/>
          <w:i w:val="0"/>
          <w:iCs w:val="0"/>
        </w:rPr>
        <w:t>rising stars,   missed opportunities, declining stars and retreats.</w:t>
      </w:r>
    </w:p>
    <w:p w:rsidR="00592824" w:rsidRPr="00BF4A6A" w:rsidRDefault="00592824" w:rsidP="00592824">
      <w:pPr>
        <w:bidi w:val="0"/>
        <w:spacing w:line="360" w:lineRule="auto"/>
        <w:ind w:firstLine="142"/>
        <w:jc w:val="both"/>
        <w:rPr>
          <w:rStyle w:val="Emphasis"/>
          <w:rFonts w:asciiTheme="majorBidi" w:hAnsiTheme="majorBidi"/>
          <w:i w:val="0"/>
          <w:iCs w:val="0"/>
        </w:rPr>
      </w:pPr>
      <w:r w:rsidRPr="00BF4A6A">
        <w:rPr>
          <w:rStyle w:val="Emphasis"/>
          <w:rFonts w:asciiTheme="majorBidi" w:hAnsiTheme="majorBidi"/>
          <w:i w:val="0"/>
          <w:iCs w:val="0"/>
        </w:rPr>
        <w:t>The rising stars are those economic activities in which a country en</w:t>
      </w:r>
      <w:r>
        <w:rPr>
          <w:rStyle w:val="Emphasis"/>
          <w:rFonts w:asciiTheme="majorBidi" w:hAnsiTheme="majorBidi"/>
          <w:i w:val="0"/>
          <w:iCs w:val="0"/>
        </w:rPr>
        <w:t>hances its market share and the level of its importance increases</w:t>
      </w:r>
      <w:r w:rsidRPr="00BF4A6A">
        <w:rPr>
          <w:rStyle w:val="Emphasis"/>
          <w:rFonts w:asciiTheme="majorBidi" w:hAnsiTheme="majorBidi"/>
          <w:i w:val="0"/>
          <w:iCs w:val="0"/>
        </w:rPr>
        <w:t xml:space="preserve"> in world imports. The missed opportunities are those sectors in which a country is losing</w:t>
      </w:r>
      <w:r>
        <w:rPr>
          <w:rStyle w:val="Emphasis"/>
          <w:rFonts w:asciiTheme="majorBidi" w:hAnsiTheme="majorBidi"/>
          <w:i w:val="0"/>
          <w:iCs w:val="0"/>
        </w:rPr>
        <w:t xml:space="preserve"> a market share while its</w:t>
      </w:r>
      <w:r w:rsidRPr="00BF4A6A">
        <w:rPr>
          <w:rStyle w:val="Emphasis"/>
          <w:rFonts w:asciiTheme="majorBidi" w:hAnsiTheme="majorBidi"/>
          <w:i w:val="0"/>
          <w:iCs w:val="0"/>
        </w:rPr>
        <w:t xml:space="preserve"> role in international trade is enhancing. </w:t>
      </w:r>
    </w:p>
    <w:p w:rsidR="00592824" w:rsidRDefault="00592824" w:rsidP="00592824">
      <w:pPr>
        <w:bidi w:val="0"/>
        <w:spacing w:line="360" w:lineRule="auto"/>
        <w:jc w:val="both"/>
        <w:rPr>
          <w:rFonts w:asciiTheme="majorBidi" w:hAnsiTheme="majorBidi"/>
          <w:lang w:bidi="ar-JO"/>
        </w:rPr>
      </w:pPr>
      <w:r w:rsidRPr="00BF4A6A">
        <w:rPr>
          <w:rStyle w:val="Emphasis"/>
          <w:rFonts w:asciiTheme="majorBidi" w:hAnsiTheme="majorBidi"/>
          <w:i w:val="0"/>
          <w:iCs w:val="0"/>
        </w:rPr>
        <w:t>The declining stars are the situat</w:t>
      </w:r>
      <w:r>
        <w:rPr>
          <w:rStyle w:val="Emphasis"/>
          <w:rFonts w:asciiTheme="majorBidi" w:hAnsiTheme="majorBidi"/>
          <w:i w:val="0"/>
          <w:iCs w:val="0"/>
        </w:rPr>
        <w:t>ions of economic activities where</w:t>
      </w:r>
      <w:r w:rsidRPr="00BF4A6A">
        <w:rPr>
          <w:rStyle w:val="Emphasis"/>
          <w:rFonts w:asciiTheme="majorBidi" w:hAnsiTheme="majorBidi"/>
          <w:i w:val="0"/>
          <w:iCs w:val="0"/>
        </w:rPr>
        <w:t xml:space="preserve"> an exporting count</w:t>
      </w:r>
      <w:r>
        <w:rPr>
          <w:rStyle w:val="Emphasis"/>
          <w:rFonts w:asciiTheme="majorBidi" w:hAnsiTheme="majorBidi"/>
          <w:i w:val="0"/>
          <w:iCs w:val="0"/>
        </w:rPr>
        <w:t>ry increases its market share</w:t>
      </w:r>
      <w:r w:rsidRPr="00BF4A6A">
        <w:rPr>
          <w:rStyle w:val="Emphasis"/>
          <w:rFonts w:asciiTheme="majorBidi" w:hAnsiTheme="majorBidi"/>
          <w:i w:val="0"/>
          <w:iCs w:val="0"/>
        </w:rPr>
        <w:t xml:space="preserve"> while having negative growth rates in world imports. Finally, we define the situation of a sector as a retreat when that economic activity is both losing market share and registering a decline of dynamism in international trade</w:t>
      </w:r>
      <w:r>
        <w:rPr>
          <w:rStyle w:val="Emphasis"/>
          <w:rFonts w:asciiTheme="majorBidi" w:hAnsiTheme="majorBidi"/>
          <w:i w:val="0"/>
          <w:iCs w:val="0"/>
        </w:rPr>
        <w:t>.</w:t>
      </w:r>
    </w:p>
    <w:p w:rsidR="00592824" w:rsidRDefault="00592824" w:rsidP="00592824">
      <w:pPr>
        <w:bidi w:val="0"/>
        <w:spacing w:after="0" w:line="240" w:lineRule="auto"/>
        <w:rPr>
          <w:rFonts w:ascii="Arial" w:eastAsia="Times New Roman" w:hAnsi="Arial" w:cs="Arial"/>
          <w:b/>
          <w:bCs/>
          <w:sz w:val="20"/>
          <w:szCs w:val="20"/>
        </w:rPr>
        <w:sectPr w:rsidR="00592824" w:rsidSect="0025551F">
          <w:pgSz w:w="11906" w:h="16838"/>
          <w:pgMar w:top="1440" w:right="1800" w:bottom="1440" w:left="1800" w:header="708" w:footer="708" w:gutter="0"/>
          <w:cols w:space="708"/>
          <w:bidi/>
          <w:rtlGutter/>
          <w:docGrid w:linePitch="360"/>
        </w:sectPr>
      </w:pPr>
    </w:p>
    <w:p w:rsidR="00592824" w:rsidRPr="00B87E2F" w:rsidRDefault="00592824" w:rsidP="00592824">
      <w:pPr>
        <w:bidi w:val="0"/>
        <w:spacing w:line="360" w:lineRule="auto"/>
        <w:ind w:left="1134"/>
        <w:jc w:val="center"/>
        <w:rPr>
          <w:rFonts w:asciiTheme="majorBidi" w:hAnsiTheme="majorBidi"/>
          <w:lang w:bidi="ar-JO"/>
        </w:rPr>
      </w:pPr>
      <w:r w:rsidRPr="00B87E2F">
        <w:rPr>
          <w:rFonts w:asciiTheme="majorBidi" w:hAnsiTheme="majorBidi"/>
          <w:lang w:bidi="ar-JO"/>
        </w:rPr>
        <w:lastRenderedPageBreak/>
        <w:t>Table (1): International Competitiveness Matrix</w:t>
      </w:r>
    </w:p>
    <w:tbl>
      <w:tblPr>
        <w:tblStyle w:val="LightShading-Accent11"/>
        <w:tblW w:w="11704" w:type="dxa"/>
        <w:jc w:val="center"/>
        <w:tblLook w:val="04A0" w:firstRow="1" w:lastRow="0" w:firstColumn="1" w:lastColumn="0" w:noHBand="0" w:noVBand="1"/>
      </w:tblPr>
      <w:tblGrid>
        <w:gridCol w:w="4217"/>
        <w:gridCol w:w="1529"/>
        <w:gridCol w:w="539"/>
        <w:gridCol w:w="1202"/>
        <w:gridCol w:w="539"/>
        <w:gridCol w:w="1235"/>
        <w:gridCol w:w="539"/>
        <w:gridCol w:w="1365"/>
        <w:gridCol w:w="539"/>
      </w:tblGrid>
      <w:tr w:rsidR="00592824" w:rsidRPr="00D97B70" w:rsidTr="00DF435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704" w:type="dxa"/>
            <w:gridSpan w:val="9"/>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1994-2010</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rPr>
            </w:pP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Transport</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Travel</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Telecom</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Business</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vMerge w:val="restart"/>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World Import Market</w:t>
            </w:r>
          </w:p>
        </w:tc>
        <w:tc>
          <w:tcPr>
            <w:tcW w:w="1529"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186.5%</w:t>
            </w:r>
          </w:p>
        </w:tc>
        <w:tc>
          <w:tcPr>
            <w:tcW w:w="539"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1202"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147.2%</w:t>
            </w:r>
          </w:p>
        </w:tc>
        <w:tc>
          <w:tcPr>
            <w:tcW w:w="539"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1235"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294.3%</w:t>
            </w:r>
          </w:p>
        </w:tc>
        <w:tc>
          <w:tcPr>
            <w:tcW w:w="539"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1365"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224.1%</w:t>
            </w:r>
          </w:p>
        </w:tc>
        <w:tc>
          <w:tcPr>
            <w:tcW w:w="539" w:type="dxa"/>
            <w:vMerge w:val="restart"/>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vMerge/>
            <w:vAlign w:val="center"/>
            <w:hideMark/>
          </w:tcPr>
          <w:p w:rsidR="00592824" w:rsidRPr="00D97B70" w:rsidRDefault="00592824" w:rsidP="00DF435F">
            <w:pPr>
              <w:bidi w:val="0"/>
              <w:rPr>
                <w:rFonts w:ascii="Arial" w:eastAsia="Times New Roman" w:hAnsi="Arial" w:cs="Arial"/>
                <w:b w:val="0"/>
                <w:bCs w:val="0"/>
                <w:iCs/>
                <w:color w:val="auto"/>
                <w:sz w:val="20"/>
                <w:szCs w:val="20"/>
              </w:rPr>
            </w:pPr>
          </w:p>
        </w:tc>
        <w:tc>
          <w:tcPr>
            <w:tcW w:w="1529"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539"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202"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539"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235"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539"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365"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539" w:type="dxa"/>
            <w:vMerge/>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Algeria</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-4.5%</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128.5%</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-41.8%</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32.0%</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Bahrain</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-34.5%</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81.7%</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-22.1%</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-37.5%</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Egypt</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-13.8%</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151.2%</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99.2%</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-75.1%</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Iraq</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43.3%</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-99.3%</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-6.3%</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-24.1%</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Jordan</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-15.7%</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137.3%</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-73.8%</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Kuwait</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8.0%</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-9.8%</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335.0%</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-15.1%</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Lebanon</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138689.1%</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3.7%</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194.9%</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45128.7%</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Libyan Arab Jamahiriya</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553.5%</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630.5%</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4.0%</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-32.0%</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Mauritania</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1124.0%</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-74.4%</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-30.4%</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Morocco</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119.5%</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120.2%</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286.8%</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185.7%</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Occupied Palestinian territory</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1376.9%</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-23.3%</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1086.0%</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101.7%</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Oman</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1603.1%</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94.7%</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17.3%</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1160.3%</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Qatar</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1404.9%</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334.1%</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Saudi Arabia</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-15.0%</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15.9%</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3.6%</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-99.4%</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Sudan</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174.2%</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767.2%</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2008.9%</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-92.7%</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Syrian Arab Republic</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-50.9%</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37.1%</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121.4%</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-89.1%</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Tunisia</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-7.0%</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-24.5%</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330.5%</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-26.5%</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r w:rsidR="00592824" w:rsidRPr="00D97B70" w:rsidTr="00DF435F">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United Arab Emirates</w:t>
            </w:r>
          </w:p>
        </w:tc>
        <w:tc>
          <w:tcPr>
            <w:tcW w:w="152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31.6%</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02"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288.2%</w:t>
            </w: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1365"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c>
          <w:tcPr>
            <w:tcW w:w="539" w:type="dxa"/>
            <w:noWrap/>
            <w:hideMark/>
          </w:tcPr>
          <w:p w:rsidR="00592824" w:rsidRPr="00D97B70" w:rsidRDefault="00592824" w:rsidP="00DF435F">
            <w:pPr>
              <w:bidi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auto"/>
                <w:sz w:val="20"/>
                <w:szCs w:val="20"/>
              </w:rPr>
            </w:pPr>
          </w:p>
        </w:tc>
      </w:tr>
      <w:tr w:rsidR="00592824" w:rsidRPr="00D97B70" w:rsidTr="00DF435F">
        <w:trPr>
          <w:trHeight w:val="285"/>
          <w:jc w:val="center"/>
        </w:trPr>
        <w:tc>
          <w:tcPr>
            <w:cnfStyle w:val="001000000000" w:firstRow="0" w:lastRow="0" w:firstColumn="1" w:lastColumn="0" w:oddVBand="0" w:evenVBand="0" w:oddHBand="0" w:evenHBand="0" w:firstRowFirstColumn="0" w:firstRowLastColumn="0" w:lastRowFirstColumn="0" w:lastRowLastColumn="0"/>
            <w:tcW w:w="4217" w:type="dxa"/>
            <w:noWrap/>
            <w:vAlign w:val="center"/>
            <w:hideMark/>
          </w:tcPr>
          <w:p w:rsidR="00592824" w:rsidRPr="00D97B70" w:rsidRDefault="00592824" w:rsidP="00DF435F">
            <w:pPr>
              <w:bidi w:val="0"/>
              <w:rPr>
                <w:rFonts w:ascii="Arial" w:eastAsia="Times New Roman" w:hAnsi="Arial" w:cs="Arial"/>
                <w:b w:val="0"/>
                <w:bCs w:val="0"/>
                <w:iCs/>
                <w:color w:val="auto"/>
                <w:sz w:val="20"/>
                <w:szCs w:val="20"/>
              </w:rPr>
            </w:pPr>
            <w:r w:rsidRPr="00D97B70">
              <w:rPr>
                <w:rFonts w:ascii="Arial" w:eastAsia="Times New Roman" w:hAnsi="Arial" w:cs="Arial"/>
                <w:b w:val="0"/>
                <w:bCs w:val="0"/>
                <w:iCs/>
                <w:color w:val="auto"/>
                <w:sz w:val="20"/>
                <w:szCs w:val="20"/>
              </w:rPr>
              <w:t>Yemen</w:t>
            </w:r>
          </w:p>
        </w:tc>
        <w:tc>
          <w:tcPr>
            <w:tcW w:w="152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-35.1%</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202"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1937.9%</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RS</w:t>
            </w:r>
          </w:p>
        </w:tc>
        <w:tc>
          <w:tcPr>
            <w:tcW w:w="123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-51.4%</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c>
          <w:tcPr>
            <w:tcW w:w="1365"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-91.1%</w:t>
            </w:r>
          </w:p>
        </w:tc>
        <w:tc>
          <w:tcPr>
            <w:tcW w:w="539" w:type="dxa"/>
            <w:noWrap/>
            <w:hideMark/>
          </w:tcPr>
          <w:p w:rsidR="00592824" w:rsidRPr="00D97B70" w:rsidRDefault="00592824" w:rsidP="00DF435F">
            <w:pPr>
              <w:bidi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auto"/>
                <w:sz w:val="20"/>
                <w:szCs w:val="20"/>
              </w:rPr>
            </w:pPr>
            <w:r w:rsidRPr="00D97B70">
              <w:rPr>
                <w:rFonts w:ascii="Arial" w:eastAsia="Times New Roman" w:hAnsi="Arial" w:cs="Arial"/>
                <w:iCs/>
                <w:color w:val="auto"/>
                <w:sz w:val="20"/>
                <w:szCs w:val="20"/>
              </w:rPr>
              <w:t>MO</w:t>
            </w:r>
          </w:p>
        </w:tc>
      </w:tr>
    </w:tbl>
    <w:p w:rsidR="00592824" w:rsidRPr="00B87E2F" w:rsidRDefault="00592824" w:rsidP="00592824">
      <w:pPr>
        <w:bidi w:val="0"/>
        <w:spacing w:line="360" w:lineRule="auto"/>
        <w:ind w:left="1134"/>
        <w:rPr>
          <w:rFonts w:asciiTheme="majorBidi" w:hAnsiTheme="majorBidi"/>
          <w:sz w:val="20"/>
          <w:szCs w:val="20"/>
          <w:lang w:bidi="ar-JO"/>
        </w:rPr>
      </w:pPr>
      <w:r w:rsidRPr="00B87E2F">
        <w:rPr>
          <w:rFonts w:asciiTheme="majorBidi" w:hAnsiTheme="majorBidi"/>
          <w:sz w:val="20"/>
          <w:szCs w:val="20"/>
          <w:lang w:bidi="ar-JO"/>
        </w:rPr>
        <w:t xml:space="preserve">Source: </w:t>
      </w:r>
      <w:proofErr w:type="spellStart"/>
      <w:r w:rsidRPr="00B87E2F">
        <w:rPr>
          <w:rFonts w:asciiTheme="majorBidi" w:hAnsiTheme="majorBidi"/>
          <w:sz w:val="20"/>
          <w:szCs w:val="20"/>
          <w:lang w:bidi="ar-JO"/>
        </w:rPr>
        <w:t>UNCTADstat</w:t>
      </w:r>
      <w:proofErr w:type="spellEnd"/>
      <w:r w:rsidRPr="00B87E2F">
        <w:rPr>
          <w:rFonts w:asciiTheme="majorBidi" w:hAnsiTheme="majorBidi"/>
          <w:sz w:val="20"/>
          <w:szCs w:val="20"/>
          <w:lang w:bidi="ar-JO"/>
        </w:rPr>
        <w:t xml:space="preserve"> and author's own calculations.</w:t>
      </w:r>
      <w:r>
        <w:rPr>
          <w:rFonts w:asciiTheme="majorBidi" w:hAnsiTheme="majorBidi"/>
          <w:sz w:val="20"/>
          <w:szCs w:val="20"/>
          <w:lang w:bidi="ar-JO"/>
        </w:rPr>
        <w:t xml:space="preserve"> (RS: </w:t>
      </w:r>
      <w:r w:rsidRPr="00D97B70">
        <w:rPr>
          <w:sz w:val="20"/>
          <w:szCs w:val="20"/>
          <w:lang w:bidi="ar-JO"/>
        </w:rPr>
        <w:t>rising stars, MO:</w:t>
      </w:r>
      <w:r>
        <w:rPr>
          <w:sz w:val="20"/>
          <w:szCs w:val="20"/>
          <w:lang w:bidi="ar-JO"/>
        </w:rPr>
        <w:t xml:space="preserve"> </w:t>
      </w:r>
      <w:r w:rsidRPr="00BF4A6A">
        <w:rPr>
          <w:rStyle w:val="Emphasis"/>
          <w:rFonts w:asciiTheme="majorBidi" w:hAnsiTheme="majorBidi"/>
          <w:i w:val="0"/>
          <w:iCs w:val="0"/>
        </w:rPr>
        <w:t>missed opportunities</w:t>
      </w:r>
      <w:r>
        <w:rPr>
          <w:rStyle w:val="Emphasis"/>
          <w:rFonts w:asciiTheme="majorBidi" w:hAnsiTheme="majorBidi"/>
          <w:i w:val="0"/>
          <w:iCs w:val="0"/>
        </w:rPr>
        <w:t>)</w:t>
      </w:r>
    </w:p>
    <w:p w:rsidR="00592824" w:rsidRDefault="00592824" w:rsidP="00592824">
      <w:pPr>
        <w:bidi w:val="0"/>
        <w:spacing w:line="360" w:lineRule="auto"/>
        <w:ind w:left="1134"/>
        <w:rPr>
          <w:rFonts w:asciiTheme="majorBidi" w:hAnsiTheme="majorBidi"/>
          <w:sz w:val="20"/>
          <w:szCs w:val="20"/>
          <w:lang w:bidi="ar-JO"/>
        </w:rPr>
      </w:pPr>
    </w:p>
    <w:p w:rsidR="00592824" w:rsidRPr="00B87E2F" w:rsidRDefault="00592824" w:rsidP="00592824">
      <w:pPr>
        <w:bidi w:val="0"/>
        <w:spacing w:after="0" w:line="360" w:lineRule="auto"/>
        <w:ind w:left="1134"/>
        <w:rPr>
          <w:rFonts w:asciiTheme="majorBidi" w:hAnsiTheme="majorBidi"/>
          <w:sz w:val="20"/>
          <w:szCs w:val="20"/>
          <w:lang w:bidi="ar-JO"/>
        </w:rPr>
        <w:sectPr w:rsidR="00592824" w:rsidRPr="00B87E2F" w:rsidSect="0025551F">
          <w:pgSz w:w="16838" w:h="11906" w:orient="landscape"/>
          <w:pgMar w:top="1797" w:right="1440" w:bottom="1797" w:left="1440" w:header="709" w:footer="709" w:gutter="0"/>
          <w:cols w:space="708"/>
          <w:bidi/>
          <w:rtlGutter/>
          <w:docGrid w:linePitch="360"/>
        </w:sectPr>
      </w:pP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lastRenderedPageBreak/>
        <w:t>The competitiveness matrix of the export structure is obtained</w:t>
      </w:r>
      <w:r>
        <w:rPr>
          <w:rFonts w:asciiTheme="majorBidi" w:hAnsiTheme="majorBidi"/>
          <w:lang w:bidi="ar-JO"/>
        </w:rPr>
        <w:t xml:space="preserve"> by</w:t>
      </w:r>
      <w:r w:rsidRPr="00B87E2F">
        <w:rPr>
          <w:rFonts w:asciiTheme="majorBidi" w:hAnsiTheme="majorBidi"/>
          <w:lang w:bidi="ar-JO"/>
        </w:rPr>
        <w:t xml:space="preserve"> relating the behavior of the export structure of a country with the import dynamism of the international market. This matrix shows how the adjustments of the export structure can take place in the same or the opposite direction with respect to the changes in world imports. </w:t>
      </w:r>
    </w:p>
    <w:p w:rsidR="00592824" w:rsidRPr="00B87E2F" w:rsidRDefault="00592824" w:rsidP="00592824">
      <w:pPr>
        <w:bidi w:val="0"/>
        <w:spacing w:line="360" w:lineRule="auto"/>
        <w:jc w:val="both"/>
        <w:rPr>
          <w:rFonts w:asciiTheme="majorBidi" w:hAnsiTheme="majorBidi"/>
          <w:lang w:bidi="ar-JO"/>
        </w:rPr>
      </w:pPr>
      <w:r>
        <w:rPr>
          <w:rFonts w:asciiTheme="majorBidi" w:hAnsiTheme="majorBidi"/>
          <w:lang w:bidi="ar-JO"/>
        </w:rPr>
        <w:t>First, t</w:t>
      </w:r>
      <w:r w:rsidRPr="00B87E2F">
        <w:rPr>
          <w:rFonts w:asciiTheme="majorBidi" w:hAnsiTheme="majorBidi"/>
          <w:lang w:bidi="ar-JO"/>
        </w:rPr>
        <w:t xml:space="preserve">he different </w:t>
      </w:r>
      <w:r>
        <w:rPr>
          <w:rFonts w:asciiTheme="majorBidi" w:hAnsiTheme="majorBidi"/>
          <w:lang w:bidi="ar-JO"/>
        </w:rPr>
        <w:t xml:space="preserve">service exporting sectors are classified by their current competitive position, and second, </w:t>
      </w:r>
      <w:r w:rsidRPr="00B87E2F">
        <w:rPr>
          <w:rFonts w:asciiTheme="majorBidi" w:hAnsiTheme="majorBidi"/>
          <w:lang w:bidi="ar-JO"/>
        </w:rPr>
        <w:t xml:space="preserve">the changes that take place in the export structure of the country and </w:t>
      </w:r>
      <w:r>
        <w:rPr>
          <w:rFonts w:asciiTheme="majorBidi" w:hAnsiTheme="majorBidi"/>
          <w:lang w:bidi="ar-JO"/>
        </w:rPr>
        <w:t>the world imports market throughout time are combined to the former. By c</w:t>
      </w:r>
      <w:r w:rsidRPr="00B87E2F">
        <w:rPr>
          <w:rFonts w:asciiTheme="majorBidi" w:hAnsiTheme="majorBidi"/>
          <w:lang w:bidi="ar-JO"/>
        </w:rPr>
        <w:t>ombining these two variables, the exporting sectors are classified as rising stars, missed opportunities, declining stars</w:t>
      </w:r>
      <w:r>
        <w:rPr>
          <w:rFonts w:asciiTheme="majorBidi" w:hAnsiTheme="majorBidi"/>
          <w:lang w:bidi="ar-JO"/>
        </w:rPr>
        <w:t xml:space="preserve"> and retreats</w:t>
      </w:r>
      <w:r w:rsidRPr="00B87E2F">
        <w:rPr>
          <w:rFonts w:asciiTheme="majorBidi" w:hAnsiTheme="majorBidi"/>
          <w:lang w:bidi="ar-JO"/>
        </w:rPr>
        <w:t>.</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 xml:space="preserve">The rising stars </w:t>
      </w:r>
      <w:r>
        <w:rPr>
          <w:rFonts w:asciiTheme="majorBidi" w:hAnsiTheme="majorBidi"/>
          <w:lang w:bidi="ar-JO"/>
        </w:rPr>
        <w:t>are those economic activities through</w:t>
      </w:r>
      <w:r w:rsidRPr="00B87E2F">
        <w:rPr>
          <w:rFonts w:asciiTheme="majorBidi" w:hAnsiTheme="majorBidi"/>
          <w:lang w:bidi="ar-JO"/>
        </w:rPr>
        <w:t xml:space="preserve"> whi</w:t>
      </w:r>
      <w:r>
        <w:rPr>
          <w:rFonts w:asciiTheme="majorBidi" w:hAnsiTheme="majorBidi"/>
          <w:lang w:bidi="ar-JO"/>
        </w:rPr>
        <w:t xml:space="preserve">ch a country raises its </w:t>
      </w:r>
      <w:r w:rsidRPr="00B87E2F">
        <w:rPr>
          <w:rFonts w:asciiTheme="majorBidi" w:hAnsiTheme="majorBidi"/>
          <w:lang w:bidi="ar-JO"/>
        </w:rPr>
        <w:t xml:space="preserve">exports in international </w:t>
      </w:r>
      <w:r>
        <w:rPr>
          <w:rFonts w:asciiTheme="majorBidi" w:hAnsiTheme="majorBidi"/>
          <w:lang w:bidi="ar-JO"/>
        </w:rPr>
        <w:t>markets while</w:t>
      </w:r>
      <w:r w:rsidRPr="00B87E2F">
        <w:rPr>
          <w:rFonts w:asciiTheme="majorBidi" w:hAnsiTheme="majorBidi"/>
          <w:lang w:bidi="ar-JO"/>
        </w:rPr>
        <w:t xml:space="preserve"> </w:t>
      </w:r>
      <w:r>
        <w:rPr>
          <w:rFonts w:asciiTheme="majorBidi" w:hAnsiTheme="majorBidi"/>
          <w:lang w:bidi="ar-JO"/>
        </w:rPr>
        <w:t xml:space="preserve">simultaneously </w:t>
      </w:r>
      <w:r w:rsidRPr="00B87E2F">
        <w:rPr>
          <w:rFonts w:asciiTheme="majorBidi" w:hAnsiTheme="majorBidi"/>
          <w:lang w:bidi="ar-JO"/>
        </w:rPr>
        <w:t>those activities have an increasing importance in the world market. The missed opportunities take place in those sectors</w:t>
      </w:r>
      <w:r>
        <w:rPr>
          <w:rFonts w:asciiTheme="majorBidi" w:hAnsiTheme="majorBidi"/>
          <w:lang w:bidi="ar-JO"/>
        </w:rPr>
        <w:t xml:space="preserve"> in which the country</w:t>
      </w:r>
      <w:r w:rsidRPr="00B87E2F">
        <w:rPr>
          <w:rFonts w:asciiTheme="majorBidi" w:hAnsiTheme="majorBidi"/>
          <w:lang w:bidi="ar-JO"/>
        </w:rPr>
        <w:t xml:space="preserve"> </w:t>
      </w:r>
      <w:r>
        <w:rPr>
          <w:rFonts w:asciiTheme="majorBidi" w:hAnsiTheme="majorBidi"/>
          <w:lang w:bidi="ar-JO"/>
        </w:rPr>
        <w:t xml:space="preserve">looses </w:t>
      </w:r>
      <w:r w:rsidRPr="00B87E2F">
        <w:rPr>
          <w:rFonts w:asciiTheme="majorBidi" w:hAnsiTheme="majorBidi"/>
          <w:lang w:bidi="ar-JO"/>
        </w:rPr>
        <w:t>exports</w:t>
      </w:r>
      <w:r>
        <w:rPr>
          <w:rFonts w:asciiTheme="majorBidi" w:hAnsiTheme="majorBidi"/>
          <w:lang w:bidi="ar-JO"/>
        </w:rPr>
        <w:t>’ market share, while</w:t>
      </w:r>
      <w:r w:rsidRPr="00B87E2F">
        <w:rPr>
          <w:rFonts w:asciiTheme="majorBidi" w:hAnsiTheme="majorBidi"/>
          <w:lang w:bidi="ar-JO"/>
        </w:rPr>
        <w:t xml:space="preserve"> the marke</w:t>
      </w:r>
      <w:r>
        <w:rPr>
          <w:rFonts w:asciiTheme="majorBidi" w:hAnsiTheme="majorBidi"/>
          <w:lang w:bidi="ar-JO"/>
        </w:rPr>
        <w:t>t of those sectors is grow</w:t>
      </w:r>
      <w:r w:rsidRPr="00B87E2F">
        <w:rPr>
          <w:rFonts w:asciiTheme="majorBidi" w:hAnsiTheme="majorBidi"/>
          <w:lang w:bidi="ar-JO"/>
        </w:rPr>
        <w:t xml:space="preserve">ing. </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The declining stars are the si</w:t>
      </w:r>
      <w:r>
        <w:rPr>
          <w:rFonts w:asciiTheme="majorBidi" w:hAnsiTheme="majorBidi"/>
          <w:lang w:bidi="ar-JO"/>
        </w:rPr>
        <w:t>tuations of those sectors of</w:t>
      </w:r>
      <w:r w:rsidRPr="00B87E2F">
        <w:rPr>
          <w:rFonts w:asciiTheme="majorBidi" w:hAnsiTheme="majorBidi"/>
          <w:lang w:bidi="ar-JO"/>
        </w:rPr>
        <w:t xml:space="preserve"> </w:t>
      </w:r>
      <w:r>
        <w:rPr>
          <w:rFonts w:asciiTheme="majorBidi" w:hAnsiTheme="majorBidi"/>
          <w:lang w:bidi="ar-JO"/>
        </w:rPr>
        <w:t>the economy</w:t>
      </w:r>
      <w:r w:rsidRPr="00B87E2F">
        <w:rPr>
          <w:rFonts w:asciiTheme="majorBidi" w:hAnsiTheme="majorBidi"/>
          <w:lang w:bidi="ar-JO"/>
        </w:rPr>
        <w:t xml:space="preserve"> in which the country increases its</w:t>
      </w:r>
      <w:r w:rsidRPr="00466C6C">
        <w:rPr>
          <w:rFonts w:asciiTheme="majorBidi" w:hAnsiTheme="majorBidi"/>
          <w:lang w:bidi="ar-JO"/>
        </w:rPr>
        <w:t xml:space="preserve"> </w:t>
      </w:r>
      <w:r>
        <w:rPr>
          <w:rFonts w:asciiTheme="majorBidi" w:hAnsiTheme="majorBidi"/>
          <w:lang w:bidi="ar-JO"/>
        </w:rPr>
        <w:t>exports</w:t>
      </w:r>
      <w:r w:rsidRPr="00B87E2F">
        <w:rPr>
          <w:rFonts w:asciiTheme="majorBidi" w:hAnsiTheme="majorBidi"/>
          <w:lang w:bidi="ar-JO"/>
        </w:rPr>
        <w:t xml:space="preserve">, </w:t>
      </w:r>
      <w:r>
        <w:rPr>
          <w:rFonts w:asciiTheme="majorBidi" w:hAnsiTheme="majorBidi"/>
          <w:lang w:bidi="ar-JO"/>
        </w:rPr>
        <w:t>although the international market</w:t>
      </w:r>
      <w:r w:rsidRPr="00B87E2F">
        <w:rPr>
          <w:rFonts w:asciiTheme="majorBidi" w:hAnsiTheme="majorBidi"/>
          <w:lang w:bidi="ar-JO"/>
        </w:rPr>
        <w:t xml:space="preserve"> is </w:t>
      </w:r>
      <w:r>
        <w:rPr>
          <w:rFonts w:asciiTheme="majorBidi" w:hAnsiTheme="majorBidi"/>
          <w:lang w:bidi="ar-JO"/>
        </w:rPr>
        <w:t>declining</w:t>
      </w:r>
      <w:r w:rsidRPr="00B87E2F">
        <w:rPr>
          <w:rFonts w:asciiTheme="majorBidi" w:hAnsiTheme="majorBidi"/>
          <w:lang w:bidi="ar-JO"/>
        </w:rPr>
        <w:t xml:space="preserve"> at the same time. Finally, we defined the si</w:t>
      </w:r>
      <w:r>
        <w:rPr>
          <w:rFonts w:asciiTheme="majorBidi" w:hAnsiTheme="majorBidi"/>
          <w:lang w:bidi="ar-JO"/>
        </w:rPr>
        <w:t xml:space="preserve">tuation of a sector as a retreat </w:t>
      </w:r>
      <w:r w:rsidRPr="00B87E2F">
        <w:rPr>
          <w:rFonts w:asciiTheme="majorBidi" w:hAnsiTheme="majorBidi"/>
          <w:lang w:bidi="ar-JO"/>
        </w:rPr>
        <w:t xml:space="preserve">when an exporting branch </w:t>
      </w:r>
      <w:r>
        <w:rPr>
          <w:rFonts w:asciiTheme="majorBidi" w:hAnsiTheme="majorBidi"/>
          <w:lang w:bidi="ar-JO"/>
        </w:rPr>
        <w:t>loses its growth potential, and this same branch</w:t>
      </w:r>
      <w:r w:rsidRPr="00B87E2F">
        <w:rPr>
          <w:rFonts w:asciiTheme="majorBidi" w:hAnsiTheme="majorBidi"/>
          <w:lang w:bidi="ar-JO"/>
        </w:rPr>
        <w:t xml:space="preserve"> </w:t>
      </w:r>
      <w:r>
        <w:rPr>
          <w:rFonts w:asciiTheme="majorBidi" w:hAnsiTheme="majorBidi"/>
          <w:lang w:bidi="ar-JO"/>
        </w:rPr>
        <w:t>is also declining</w:t>
      </w:r>
      <w:r w:rsidRPr="00B87E2F">
        <w:rPr>
          <w:rFonts w:asciiTheme="majorBidi" w:hAnsiTheme="majorBidi"/>
          <w:lang w:bidi="ar-JO"/>
        </w:rPr>
        <w:t xml:space="preserve"> world market</w:t>
      </w:r>
      <w:r>
        <w:rPr>
          <w:rFonts w:asciiTheme="majorBidi" w:hAnsiTheme="majorBidi"/>
          <w:lang w:bidi="ar-JO"/>
        </w:rPr>
        <w:t>s</w:t>
      </w:r>
      <w:r w:rsidRPr="00B87E2F">
        <w:rPr>
          <w:rFonts w:asciiTheme="majorBidi" w:hAnsiTheme="majorBidi"/>
          <w:lang w:bidi="ar-JO"/>
        </w:rPr>
        <w:t>.</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 xml:space="preserve">Finally, the different sectors from the export of services can also be classified from the point of view of their international competitiveness throughout time, when the degree of commercial specialization of each country and the evolution of the world imports are simultaneously analyzed. </w:t>
      </w:r>
    </w:p>
    <w:p w:rsidR="00592824" w:rsidRPr="00B87E2F" w:rsidRDefault="00592824" w:rsidP="00592824">
      <w:pPr>
        <w:bidi w:val="0"/>
        <w:spacing w:line="360" w:lineRule="auto"/>
        <w:jc w:val="both"/>
        <w:rPr>
          <w:rFonts w:asciiTheme="majorBidi" w:hAnsiTheme="majorBidi"/>
          <w:lang w:bidi="ar-JO"/>
        </w:rPr>
      </w:pPr>
      <w:r w:rsidRPr="00B87E2F">
        <w:rPr>
          <w:rFonts w:asciiTheme="majorBidi" w:hAnsiTheme="majorBidi"/>
          <w:lang w:bidi="ar-JO"/>
        </w:rPr>
        <w:t>The specialization index is defined as the relative participation that the exporting sector of a country has in the world trade.</w:t>
      </w:r>
    </w:p>
    <w:p w:rsidR="00592824" w:rsidRDefault="00592824" w:rsidP="00592824">
      <w:pPr>
        <w:bidi w:val="0"/>
        <w:spacing w:line="360" w:lineRule="auto"/>
        <w:jc w:val="both"/>
        <w:rPr>
          <w:rFonts w:asciiTheme="majorBidi" w:hAnsiTheme="majorBidi"/>
          <w:i/>
          <w:iCs/>
          <w:lang w:bidi="ar-JO"/>
        </w:rPr>
      </w:pPr>
      <w:r w:rsidRPr="00B87E2F">
        <w:rPr>
          <w:rFonts w:asciiTheme="majorBidi" w:hAnsiTheme="majorBidi"/>
          <w:lang w:bidi="ar-JO"/>
        </w:rPr>
        <w:t>Analogous to what is mentioned above, the exporting sectors are classified as rising stars, missed opportunities, declining stars and retreats with a similar meaning to the ones indicated previously.</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If we refer back to table (1), we will notice that all of the analyzed countries and sectors fall into one of two categories: rising stars (RS)</w:t>
      </w:r>
      <w:r>
        <w:rPr>
          <w:rFonts w:asciiTheme="majorBidi" w:hAnsiTheme="majorBidi"/>
          <w:i/>
          <w:iCs/>
          <w:lang w:bidi="ar-JO"/>
        </w:rPr>
        <w:t xml:space="preserve"> </w:t>
      </w:r>
      <w:r>
        <w:rPr>
          <w:rFonts w:asciiTheme="majorBidi" w:hAnsiTheme="majorBidi"/>
          <w:lang w:bidi="ar-JO"/>
        </w:rPr>
        <w:t xml:space="preserve">or missed opportunities (MO). </w:t>
      </w:r>
      <w:r>
        <w:rPr>
          <w:rFonts w:asciiTheme="majorBidi" w:hAnsiTheme="majorBidi"/>
          <w:lang w:bidi="ar-JO"/>
        </w:rPr>
        <w:lastRenderedPageBreak/>
        <w:t>This result comes mainly from the fact that all four sectors analyzed here have witnessed increased demand from the world market, and have gained a larger share of world exports in general. Given this, we can then capture the competitiveness levels of the different countries.</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 xml:space="preserve">As shown above, we notice a positive development for nearly all countries in the travel sector, which is a reflection of how much attention the travel and tourism sector has recently gained. Also, the transport sector shows a number of positive developments in such countries as Lebanon (a market share gain of more than 138 times), Occupied Palestinian Territories, Oman and Qatar. Also, the Telecommunications sector shows positive developments in most of the countries. </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The business services sector, however, reflects the lack of competitiveness MENA countries have in it. This sector represents management consulting services, legal counseling, professional accounting services, and investment banking services to name a few. The MENA region suffers from a lack of a competitive position in this vibrant sector (the world market for this sector grew by 224.1 percent during the study period).</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This can be explained by the relatively low level of educational quality in schools and universities, which ultimately renders an unavailability of a skilled labor force. MENA countries can learn a great deal from Lebanon, which happens to be one of four countries increasing their exports in this field. Lebanon has a very strong educational system that supplies both the local and regional labor markets with the necessary skills. MENA countries must have a greater focus on education, and more particularly higher education that furnishes the graduates with the needed skills in the market. This sector represents an opportunity to further gain in terms of exports growth.</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 xml:space="preserve">By analyzing the economic characteristics of MENA countries, we can see that those countries who have a number of free trade agreements (such as WTO membership and bilateral free trade agreements), along with an accelerating rate of growth in GDP, were the ones who gained a better competitive position. As a result, countries </w:t>
      </w:r>
      <w:proofErr w:type="gramStart"/>
      <w:r>
        <w:rPr>
          <w:rFonts w:asciiTheme="majorBidi" w:hAnsiTheme="majorBidi"/>
          <w:lang w:bidi="ar-JO"/>
        </w:rPr>
        <w:t>who</w:t>
      </w:r>
      <w:proofErr w:type="gramEnd"/>
      <w:r>
        <w:rPr>
          <w:rFonts w:asciiTheme="majorBidi" w:hAnsiTheme="majorBidi"/>
          <w:lang w:bidi="ar-JO"/>
        </w:rPr>
        <w:t xml:space="preserve"> are lagging have a strong motive to enter into more free trade agreements in order to further enhance their competitive position. On an inter-</w:t>
      </w:r>
      <w:proofErr w:type="spellStart"/>
      <w:r>
        <w:rPr>
          <w:rFonts w:asciiTheme="majorBidi" w:hAnsiTheme="majorBidi"/>
          <w:lang w:bidi="ar-JO"/>
        </w:rPr>
        <w:t>arab</w:t>
      </w:r>
      <w:proofErr w:type="spellEnd"/>
      <w:r>
        <w:rPr>
          <w:rFonts w:asciiTheme="majorBidi" w:hAnsiTheme="majorBidi"/>
          <w:lang w:bidi="ar-JO"/>
        </w:rPr>
        <w:t xml:space="preserve"> level, the competitiveness matrix can be utilized to establish bilateral trade agreements in the </w:t>
      </w:r>
      <w:r>
        <w:rPr>
          <w:rFonts w:asciiTheme="majorBidi" w:hAnsiTheme="majorBidi"/>
          <w:lang w:bidi="ar-JO"/>
        </w:rPr>
        <w:lastRenderedPageBreak/>
        <w:t xml:space="preserve">sectors that are losing to other competitors, thereby targeting the deficiencies in the competitive position of these countries. </w:t>
      </w:r>
    </w:p>
    <w:p w:rsidR="00592824" w:rsidRDefault="00592824" w:rsidP="00592824">
      <w:pPr>
        <w:bidi w:val="0"/>
        <w:spacing w:line="360" w:lineRule="auto"/>
        <w:jc w:val="both"/>
        <w:rPr>
          <w:rFonts w:asciiTheme="majorBidi" w:hAnsiTheme="majorBidi"/>
          <w:i/>
          <w:iCs/>
          <w:lang w:bidi="ar-JO"/>
        </w:rPr>
      </w:pPr>
      <w:r>
        <w:rPr>
          <w:rFonts w:asciiTheme="majorBidi" w:hAnsiTheme="majorBidi"/>
          <w:lang w:bidi="ar-JO"/>
        </w:rPr>
        <w:t>As a general conclusion, MENA countries are gaining in their competitive positions in three of the four sectors analyzed during the period of the study.</w:t>
      </w:r>
    </w:p>
    <w:p w:rsidR="00592824" w:rsidRPr="004205DC" w:rsidRDefault="00592824" w:rsidP="00592824">
      <w:pPr>
        <w:pStyle w:val="ListParagraph"/>
        <w:numPr>
          <w:ilvl w:val="1"/>
          <w:numId w:val="1"/>
        </w:numPr>
        <w:bidi w:val="0"/>
        <w:ind w:left="284"/>
        <w:outlineLvl w:val="1"/>
        <w:rPr>
          <w:rFonts w:asciiTheme="majorBidi" w:hAnsiTheme="majorBidi"/>
          <w:b/>
          <w:bCs/>
          <w:sz w:val="28"/>
          <w:szCs w:val="28"/>
          <w:lang w:bidi="ar-JO"/>
        </w:rPr>
      </w:pPr>
      <w:bookmarkStart w:id="21" w:name="_Toc316991759"/>
      <w:bookmarkStart w:id="22" w:name="_Toc316992252"/>
      <w:r w:rsidRPr="004205DC">
        <w:rPr>
          <w:rFonts w:asciiTheme="majorBidi" w:hAnsiTheme="majorBidi"/>
          <w:b/>
          <w:bCs/>
          <w:sz w:val="28"/>
          <w:szCs w:val="28"/>
          <w:lang w:bidi="ar-JO"/>
        </w:rPr>
        <w:t>Gravity Model</w:t>
      </w:r>
      <w:bookmarkEnd w:id="21"/>
      <w:bookmarkEnd w:id="22"/>
    </w:p>
    <w:p w:rsidR="00592824" w:rsidRDefault="00592824" w:rsidP="00592824">
      <w:pPr>
        <w:pStyle w:val="ListParagraph"/>
        <w:bidi w:val="0"/>
        <w:spacing w:line="360" w:lineRule="auto"/>
        <w:ind w:left="0"/>
        <w:jc w:val="both"/>
        <w:rPr>
          <w:rFonts w:asciiTheme="majorBidi" w:hAnsiTheme="majorBidi"/>
          <w:lang w:bidi="ar-JO"/>
        </w:rPr>
      </w:pPr>
      <w:r>
        <w:rPr>
          <w:rFonts w:asciiTheme="majorBidi" w:hAnsiTheme="majorBidi"/>
          <w:lang w:bidi="ar-JO"/>
        </w:rPr>
        <w:t>In the previous section, we introduced a descriptive analysis of the competitive position of MENA countries by utilizing the competitiveness matrix. In this section, we analyze the main factors affecting intra-MENA trade in order to understand the key variables that influence the level of competitiveness, thereby focusing on what matters most to enhancing the level of competitiveness and the size of intra-regional trade.</w:t>
      </w:r>
    </w:p>
    <w:p w:rsidR="00592824" w:rsidRDefault="00592824" w:rsidP="00592824">
      <w:pPr>
        <w:pStyle w:val="ListParagraph"/>
        <w:bidi w:val="0"/>
        <w:spacing w:line="360" w:lineRule="auto"/>
        <w:ind w:left="0"/>
        <w:jc w:val="both"/>
        <w:rPr>
          <w:rFonts w:asciiTheme="majorBidi" w:hAnsiTheme="majorBidi"/>
          <w:lang w:bidi="ar-JO"/>
        </w:rPr>
      </w:pPr>
      <w:r>
        <w:rPr>
          <w:rFonts w:asciiTheme="majorBidi" w:hAnsiTheme="majorBidi"/>
          <w:lang w:bidi="ar-JO"/>
        </w:rPr>
        <w:t xml:space="preserve">For our estimated model, we analyzed the panel data for the identified key variables covering the period </w:t>
      </w:r>
      <w:r w:rsidRPr="005D62D3">
        <w:rPr>
          <w:rFonts w:asciiTheme="majorBidi" w:hAnsiTheme="majorBidi"/>
          <w:lang w:bidi="ar-JO"/>
        </w:rPr>
        <w:t>2006-2010. We used the annual</w:t>
      </w:r>
      <w:r>
        <w:rPr>
          <w:rFonts w:asciiTheme="majorBidi" w:hAnsiTheme="majorBidi"/>
          <w:lang w:bidi="ar-JO"/>
        </w:rPr>
        <w:t xml:space="preserve"> data for the analysis. The first step in the analysis was taking the logarithm for the data and testing the resulting data for stationary. The next step was employing the </w:t>
      </w:r>
      <w:proofErr w:type="spellStart"/>
      <w:r>
        <w:rPr>
          <w:rFonts w:asciiTheme="majorBidi" w:hAnsiTheme="majorBidi"/>
          <w:lang w:bidi="ar-JO"/>
        </w:rPr>
        <w:t>Hausman</w:t>
      </w:r>
      <w:proofErr w:type="spellEnd"/>
      <w:r>
        <w:rPr>
          <w:rFonts w:asciiTheme="majorBidi" w:hAnsiTheme="majorBidi"/>
          <w:lang w:bidi="ar-JO"/>
        </w:rPr>
        <w:t xml:space="preserve"> test for the nature of the effects of the estimates, thereby determining whether the effects are random or fixed. The test results show that the estimates have a fixed effect. These fixed effects are corrected by using a Panel Efficient Generalized Least Squares (Panel EGLS) with cross-sectional weights. The results for our four estimated equations are shown below.</w:t>
      </w:r>
    </w:p>
    <w:p w:rsidR="00592824" w:rsidRDefault="00592824" w:rsidP="00592824">
      <w:pPr>
        <w:pStyle w:val="ListParagraph"/>
        <w:bidi w:val="0"/>
        <w:ind w:left="284"/>
        <w:outlineLvl w:val="1"/>
        <w:rPr>
          <w:rFonts w:asciiTheme="majorBidi" w:hAnsiTheme="majorBidi"/>
          <w:b/>
          <w:bCs/>
          <w:i/>
          <w:iCs/>
          <w:sz w:val="28"/>
          <w:szCs w:val="28"/>
          <w:lang w:bidi="ar-JO"/>
        </w:rPr>
      </w:pPr>
      <w:bookmarkStart w:id="23" w:name="_Toc316991760"/>
      <w:bookmarkStart w:id="24" w:name="_Toc316992253"/>
    </w:p>
    <w:p w:rsidR="00592824" w:rsidRPr="004205DC" w:rsidRDefault="00592824" w:rsidP="00592824">
      <w:pPr>
        <w:pStyle w:val="ListParagraph"/>
        <w:bidi w:val="0"/>
        <w:ind w:left="284"/>
        <w:outlineLvl w:val="1"/>
        <w:rPr>
          <w:rFonts w:asciiTheme="majorBidi" w:hAnsiTheme="majorBidi"/>
          <w:b/>
          <w:bCs/>
          <w:i/>
          <w:iCs/>
          <w:sz w:val="28"/>
          <w:szCs w:val="28"/>
          <w:lang w:bidi="ar-JO"/>
        </w:rPr>
      </w:pPr>
    </w:p>
    <w:p w:rsidR="00592824" w:rsidRDefault="00592824" w:rsidP="00592824">
      <w:pPr>
        <w:pStyle w:val="ListParagraph"/>
        <w:numPr>
          <w:ilvl w:val="2"/>
          <w:numId w:val="1"/>
        </w:numPr>
        <w:bidi w:val="0"/>
        <w:ind w:left="284"/>
        <w:outlineLvl w:val="1"/>
        <w:rPr>
          <w:rFonts w:asciiTheme="majorBidi" w:hAnsiTheme="majorBidi"/>
          <w:b/>
          <w:bCs/>
          <w:i/>
          <w:iCs/>
          <w:sz w:val="28"/>
          <w:szCs w:val="28"/>
          <w:lang w:bidi="ar-JO"/>
        </w:rPr>
      </w:pPr>
      <w:r w:rsidRPr="003C16C8">
        <w:rPr>
          <w:rFonts w:asciiTheme="majorBidi" w:hAnsiTheme="majorBidi"/>
          <w:b/>
          <w:bCs/>
          <w:i/>
          <w:iCs/>
          <w:sz w:val="28"/>
          <w:szCs w:val="28"/>
          <w:lang w:bidi="ar-JO"/>
        </w:rPr>
        <w:t xml:space="preserve">Data </w:t>
      </w:r>
      <w:bookmarkEnd w:id="23"/>
      <w:bookmarkEnd w:id="24"/>
      <w:proofErr w:type="spellStart"/>
      <w:r w:rsidRPr="003C16C8">
        <w:rPr>
          <w:rFonts w:asciiTheme="majorBidi" w:hAnsiTheme="majorBidi"/>
          <w:b/>
          <w:bCs/>
          <w:i/>
          <w:iCs/>
          <w:sz w:val="28"/>
          <w:szCs w:val="28"/>
          <w:lang w:bidi="ar-JO"/>
        </w:rPr>
        <w:t>Stationar</w:t>
      </w:r>
      <w:r>
        <w:rPr>
          <w:rFonts w:asciiTheme="majorBidi" w:hAnsiTheme="majorBidi"/>
          <w:b/>
          <w:bCs/>
          <w:i/>
          <w:iCs/>
          <w:sz w:val="28"/>
          <w:szCs w:val="28"/>
          <w:lang w:bidi="ar-JO"/>
        </w:rPr>
        <w:t>it</w:t>
      </w:r>
      <w:r w:rsidRPr="003C16C8">
        <w:rPr>
          <w:rFonts w:asciiTheme="majorBidi" w:hAnsiTheme="majorBidi"/>
          <w:b/>
          <w:bCs/>
          <w:i/>
          <w:iCs/>
          <w:sz w:val="28"/>
          <w:szCs w:val="28"/>
          <w:lang w:bidi="ar-JO"/>
        </w:rPr>
        <w:t>y</w:t>
      </w:r>
      <w:proofErr w:type="spellEnd"/>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 xml:space="preserve">Ensuring the Stationary of the data is one of the most crucial steps of the analysis. We tested for </w:t>
      </w:r>
      <w:proofErr w:type="spellStart"/>
      <w:r>
        <w:rPr>
          <w:rFonts w:asciiTheme="majorBidi" w:hAnsiTheme="majorBidi"/>
          <w:lang w:bidi="ar-JO"/>
        </w:rPr>
        <w:t>stationarity</w:t>
      </w:r>
      <w:proofErr w:type="spellEnd"/>
      <w:r>
        <w:rPr>
          <w:rFonts w:asciiTheme="majorBidi" w:hAnsiTheme="majorBidi"/>
          <w:lang w:bidi="ar-JO"/>
        </w:rPr>
        <w:t xml:space="preserve"> using the Levin, Lin &amp; Chu test. The results of this test are shown below. Every key variable proves to be stationary in their normal form without any adjustments, or as is usually said in this position that the data is stationary on levels and there is no need to take first differences to have </w:t>
      </w:r>
      <w:proofErr w:type="spellStart"/>
      <w:r>
        <w:rPr>
          <w:rFonts w:asciiTheme="majorBidi" w:hAnsiTheme="majorBidi"/>
          <w:lang w:bidi="ar-JO"/>
        </w:rPr>
        <w:t>stationarity</w:t>
      </w:r>
      <w:proofErr w:type="spellEnd"/>
      <w:r>
        <w:rPr>
          <w:rFonts w:asciiTheme="majorBidi" w:hAnsiTheme="majorBidi"/>
          <w:lang w:bidi="ar-JO"/>
        </w:rPr>
        <w:t>.</w:t>
      </w:r>
    </w:p>
    <w:p w:rsidR="00592824" w:rsidRDefault="00592824" w:rsidP="00592824">
      <w:pPr>
        <w:bidi w:val="0"/>
        <w:spacing w:line="360" w:lineRule="auto"/>
        <w:jc w:val="both"/>
        <w:rPr>
          <w:rFonts w:asciiTheme="majorBidi" w:hAnsiTheme="majorBidi"/>
          <w:lang w:bidi="ar-JO"/>
        </w:rPr>
      </w:pPr>
    </w:p>
    <w:p w:rsidR="00592824" w:rsidRDefault="00592824" w:rsidP="00592824">
      <w:pPr>
        <w:bidi w:val="0"/>
        <w:spacing w:line="360" w:lineRule="auto"/>
        <w:jc w:val="both"/>
        <w:rPr>
          <w:rFonts w:asciiTheme="majorBidi" w:hAnsiTheme="majorBidi"/>
          <w:lang w:bidi="ar-JO"/>
        </w:rPr>
      </w:pPr>
    </w:p>
    <w:p w:rsidR="00592824" w:rsidRPr="003C16C8" w:rsidRDefault="00592824" w:rsidP="00592824">
      <w:pPr>
        <w:bidi w:val="0"/>
        <w:spacing w:line="360" w:lineRule="auto"/>
        <w:jc w:val="both"/>
        <w:rPr>
          <w:rFonts w:asciiTheme="majorBidi" w:hAnsiTheme="majorBidi"/>
          <w:lang w:bidi="ar-JO"/>
        </w:rPr>
      </w:pPr>
    </w:p>
    <w:tbl>
      <w:tblPr>
        <w:bidiVisual/>
        <w:tblW w:w="0" w:type="auto"/>
        <w:tblInd w:w="30" w:type="dxa"/>
        <w:tblLayout w:type="fixed"/>
        <w:tblCellMar>
          <w:left w:w="0" w:type="dxa"/>
          <w:right w:w="0" w:type="dxa"/>
        </w:tblCellMar>
        <w:tblLook w:val="0000" w:firstRow="0" w:lastRow="0" w:firstColumn="0" w:lastColumn="0" w:noHBand="0" w:noVBand="0"/>
      </w:tblPr>
      <w:tblGrid>
        <w:gridCol w:w="1387"/>
      </w:tblGrid>
      <w:tr w:rsidR="00592824" w:rsidRPr="00781D8C" w:rsidTr="00DF435F">
        <w:trPr>
          <w:trHeight w:val="225"/>
        </w:trPr>
        <w:tc>
          <w:tcPr>
            <w:tcW w:w="1387" w:type="dxa"/>
            <w:tcBorders>
              <w:top w:val="nil"/>
              <w:left w:val="nil"/>
              <w:bottom w:val="nil"/>
              <w:right w:val="nil"/>
            </w:tcBorders>
            <w:vAlign w:val="bottom"/>
          </w:tcPr>
          <w:p w:rsidR="00592824" w:rsidRPr="00781D8C" w:rsidRDefault="00592824" w:rsidP="00DF435F">
            <w:pPr>
              <w:autoSpaceDE w:val="0"/>
              <w:autoSpaceDN w:val="0"/>
              <w:bidi w:val="0"/>
              <w:adjustRightInd w:val="0"/>
              <w:spacing w:after="0" w:line="240" w:lineRule="auto"/>
              <w:rPr>
                <w:rFonts w:ascii="Arial" w:hAnsi="Arial" w:cs="Arial"/>
                <w:color w:val="000000"/>
                <w:sz w:val="18"/>
                <w:szCs w:val="18"/>
              </w:rPr>
            </w:pPr>
          </w:p>
        </w:tc>
      </w:tr>
    </w:tbl>
    <w:p w:rsidR="00592824" w:rsidRDefault="00592824" w:rsidP="00592824">
      <w:pPr>
        <w:bidi w:val="0"/>
        <w:spacing w:line="360" w:lineRule="auto"/>
        <w:ind w:left="66"/>
        <w:jc w:val="center"/>
        <w:rPr>
          <w:rFonts w:asciiTheme="majorBidi" w:hAnsiTheme="majorBidi"/>
          <w:lang w:bidi="ar-JO"/>
        </w:rPr>
      </w:pPr>
      <w:r>
        <w:rPr>
          <w:rFonts w:asciiTheme="majorBidi" w:hAnsiTheme="majorBidi"/>
          <w:lang w:bidi="ar-JO"/>
        </w:rPr>
        <w:lastRenderedPageBreak/>
        <w:t xml:space="preserve">Table (2): </w:t>
      </w:r>
      <w:proofErr w:type="spellStart"/>
      <w:r>
        <w:rPr>
          <w:rFonts w:asciiTheme="majorBidi" w:hAnsiTheme="majorBidi"/>
          <w:lang w:bidi="ar-JO"/>
        </w:rPr>
        <w:t>Stationarity</w:t>
      </w:r>
      <w:proofErr w:type="spellEnd"/>
      <w:r>
        <w:rPr>
          <w:rFonts w:asciiTheme="majorBidi" w:hAnsiTheme="majorBidi"/>
          <w:lang w:bidi="ar-JO"/>
        </w:rPr>
        <w:t xml:space="preserve"> Test </w:t>
      </w:r>
      <w:r w:rsidRPr="001E2AEB">
        <w:rPr>
          <w:rFonts w:asciiTheme="majorBidi" w:hAnsiTheme="majorBidi"/>
          <w:lang w:bidi="ar-JO"/>
        </w:rPr>
        <w:t>(</w:t>
      </w:r>
      <w:r w:rsidRPr="001E2AEB">
        <w:rPr>
          <w:rFonts w:asciiTheme="majorBidi" w:hAnsiTheme="majorBidi"/>
          <w:color w:val="000000"/>
        </w:rPr>
        <w:t>Levin, Lin &amp; Chu t</w:t>
      </w:r>
      <w:r w:rsidRPr="001E2AEB">
        <w:rPr>
          <w:rFonts w:asciiTheme="majorBidi" w:hAnsiTheme="majorBidi"/>
          <w:lang w:bidi="ar-JO"/>
        </w:rPr>
        <w:t xml:space="preserve">) </w:t>
      </w:r>
      <w:r>
        <w:rPr>
          <w:rFonts w:asciiTheme="majorBidi" w:hAnsiTheme="majorBidi"/>
          <w:lang w:bidi="ar-JO"/>
        </w:rPr>
        <w:t>for the Key Variables</w:t>
      </w:r>
    </w:p>
    <w:tbl>
      <w:tblPr>
        <w:tblStyle w:val="LightShading-Accent11"/>
        <w:tblW w:w="9486" w:type="dxa"/>
        <w:tblLook w:val="04A0" w:firstRow="1" w:lastRow="0" w:firstColumn="1" w:lastColumn="0" w:noHBand="0" w:noVBand="1"/>
      </w:tblPr>
      <w:tblGrid>
        <w:gridCol w:w="3143"/>
        <w:gridCol w:w="2116"/>
        <w:gridCol w:w="2117"/>
        <w:gridCol w:w="2110"/>
      </w:tblGrid>
      <w:tr w:rsidR="00592824" w:rsidRPr="006C1C40" w:rsidTr="00DF4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Key Variable</w:t>
            </w:r>
          </w:p>
        </w:tc>
        <w:tc>
          <w:tcPr>
            <w:tcW w:w="2116" w:type="dxa"/>
            <w:vAlign w:val="center"/>
          </w:tcPr>
          <w:p w:rsidR="00592824" w:rsidRPr="006C1C40" w:rsidRDefault="00592824" w:rsidP="00DF435F">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level</w:t>
            </w:r>
          </w:p>
        </w:tc>
        <w:tc>
          <w:tcPr>
            <w:tcW w:w="2117" w:type="dxa"/>
            <w:vAlign w:val="center"/>
          </w:tcPr>
          <w:p w:rsidR="00592824" w:rsidRPr="006C1C40" w:rsidRDefault="00592824" w:rsidP="00DF435F">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Probability</w:t>
            </w:r>
          </w:p>
        </w:tc>
        <w:tc>
          <w:tcPr>
            <w:tcW w:w="2110" w:type="dxa"/>
            <w:vAlign w:val="center"/>
          </w:tcPr>
          <w:p w:rsidR="00592824" w:rsidRPr="006C1C40" w:rsidRDefault="00592824" w:rsidP="00DF435F">
            <w:pPr>
              <w:bidi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Result</w:t>
            </w:r>
          </w:p>
        </w:tc>
      </w:tr>
      <w:tr w:rsidR="00592824" w:rsidRPr="006C1C40" w:rsidTr="00DF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Service Imports (SIM)</w:t>
            </w:r>
          </w:p>
        </w:tc>
        <w:tc>
          <w:tcPr>
            <w:tcW w:w="2116"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-13.13</w:t>
            </w:r>
          </w:p>
        </w:tc>
        <w:tc>
          <w:tcPr>
            <w:tcW w:w="2117"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 xml:space="preserve">Stationary </w:t>
            </w:r>
          </w:p>
        </w:tc>
      </w:tr>
      <w:tr w:rsidR="00592824" w:rsidRPr="006C1C40" w:rsidTr="00DF435F">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Service Exports (SX)</w:t>
            </w:r>
          </w:p>
        </w:tc>
        <w:tc>
          <w:tcPr>
            <w:tcW w:w="2116"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-4.7</w:t>
            </w:r>
          </w:p>
        </w:tc>
        <w:tc>
          <w:tcPr>
            <w:tcW w:w="2117"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r w:rsidR="00592824" w:rsidRPr="006C1C40" w:rsidTr="00DF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Total Services Trade (TST)</w:t>
            </w:r>
          </w:p>
        </w:tc>
        <w:tc>
          <w:tcPr>
            <w:tcW w:w="2116"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-11.2</w:t>
            </w:r>
          </w:p>
        </w:tc>
        <w:tc>
          <w:tcPr>
            <w:tcW w:w="2117"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r w:rsidR="00592824" w:rsidRPr="006C1C40" w:rsidTr="00DF435F">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Trade Balance (TB)</w:t>
            </w:r>
          </w:p>
        </w:tc>
        <w:tc>
          <w:tcPr>
            <w:tcW w:w="2116"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-2.2</w:t>
            </w:r>
          </w:p>
        </w:tc>
        <w:tc>
          <w:tcPr>
            <w:tcW w:w="2117"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r w:rsidR="00592824" w:rsidRPr="006C1C40" w:rsidTr="00DF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GDP</w:t>
            </w:r>
          </w:p>
        </w:tc>
        <w:tc>
          <w:tcPr>
            <w:tcW w:w="2116"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-4.4</w:t>
            </w:r>
          </w:p>
        </w:tc>
        <w:tc>
          <w:tcPr>
            <w:tcW w:w="2117"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r w:rsidR="00592824" w:rsidRPr="006C1C40" w:rsidTr="00DF435F">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Population (POP)</w:t>
            </w:r>
          </w:p>
        </w:tc>
        <w:tc>
          <w:tcPr>
            <w:tcW w:w="2116"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-2.7</w:t>
            </w:r>
          </w:p>
        </w:tc>
        <w:tc>
          <w:tcPr>
            <w:tcW w:w="2117"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r w:rsidR="00592824" w:rsidRPr="006C1C40" w:rsidTr="00DF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Distance (DIST)</w:t>
            </w:r>
          </w:p>
        </w:tc>
        <w:tc>
          <w:tcPr>
            <w:tcW w:w="2116"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-13.4</w:t>
            </w:r>
          </w:p>
        </w:tc>
        <w:tc>
          <w:tcPr>
            <w:tcW w:w="2117"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r w:rsidR="00592824" w:rsidRPr="006C1C40" w:rsidTr="00DF435F">
        <w:tc>
          <w:tcPr>
            <w:cnfStyle w:val="001000000000" w:firstRow="0" w:lastRow="0" w:firstColumn="1" w:lastColumn="0" w:oddVBand="0" w:evenVBand="0" w:oddHBand="0" w:evenHBand="0" w:firstRowFirstColumn="0" w:firstRowLastColumn="0" w:lastRowFirstColumn="0" w:lastRowLastColumn="0"/>
            <w:tcW w:w="3143" w:type="dxa"/>
            <w:vAlign w:val="center"/>
          </w:tcPr>
          <w:p w:rsidR="00592824" w:rsidRPr="006C1C40" w:rsidRDefault="00592824" w:rsidP="00DF435F">
            <w:pPr>
              <w:bidi w:val="0"/>
              <w:spacing w:line="360" w:lineRule="auto"/>
              <w:jc w:val="center"/>
              <w:rPr>
                <w:rFonts w:asciiTheme="majorBidi" w:hAnsiTheme="majorBidi"/>
                <w:b w:val="0"/>
                <w:bCs w:val="0"/>
                <w:color w:val="auto"/>
                <w:sz w:val="22"/>
                <w:szCs w:val="22"/>
                <w:lang w:bidi="ar-JO"/>
              </w:rPr>
            </w:pPr>
            <w:r w:rsidRPr="006C1C40">
              <w:rPr>
                <w:rFonts w:asciiTheme="majorBidi" w:hAnsiTheme="majorBidi"/>
                <w:b w:val="0"/>
                <w:bCs w:val="0"/>
                <w:color w:val="auto"/>
                <w:sz w:val="22"/>
                <w:szCs w:val="22"/>
                <w:lang w:bidi="ar-JO"/>
              </w:rPr>
              <w:t>Trade Openness (TOPEN)</w:t>
            </w:r>
          </w:p>
        </w:tc>
        <w:tc>
          <w:tcPr>
            <w:tcW w:w="2116"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-9.3</w:t>
            </w:r>
          </w:p>
        </w:tc>
        <w:tc>
          <w:tcPr>
            <w:tcW w:w="2117"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0.000</w:t>
            </w:r>
          </w:p>
        </w:tc>
        <w:tc>
          <w:tcPr>
            <w:tcW w:w="2110" w:type="dxa"/>
            <w:vAlign w:val="center"/>
          </w:tcPr>
          <w:p w:rsidR="00592824" w:rsidRPr="006C1C40" w:rsidRDefault="00592824" w:rsidP="00DF435F">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olor w:val="auto"/>
                <w:sz w:val="22"/>
                <w:szCs w:val="22"/>
                <w:lang w:bidi="ar-JO"/>
              </w:rPr>
            </w:pPr>
            <w:r w:rsidRPr="006C1C40">
              <w:rPr>
                <w:rFonts w:asciiTheme="majorBidi" w:hAnsiTheme="majorBidi"/>
                <w:color w:val="auto"/>
                <w:sz w:val="22"/>
                <w:szCs w:val="22"/>
                <w:lang w:bidi="ar-JO"/>
              </w:rPr>
              <w:t>Stationary</w:t>
            </w:r>
          </w:p>
        </w:tc>
      </w:tr>
    </w:tbl>
    <w:p w:rsidR="00592824" w:rsidRPr="004205DC" w:rsidRDefault="00592824" w:rsidP="00592824">
      <w:pPr>
        <w:pStyle w:val="ListParagraph"/>
        <w:bidi w:val="0"/>
        <w:spacing w:before="240"/>
        <w:ind w:left="142"/>
        <w:rPr>
          <w:rFonts w:asciiTheme="majorBidi" w:hAnsiTheme="majorBidi"/>
          <w:b/>
          <w:bCs/>
          <w:i/>
          <w:iCs/>
          <w:sz w:val="28"/>
          <w:szCs w:val="28"/>
          <w:lang w:bidi="ar-JO"/>
        </w:rPr>
      </w:pPr>
    </w:p>
    <w:p w:rsidR="00592824" w:rsidRDefault="00592824" w:rsidP="00592824">
      <w:pPr>
        <w:pStyle w:val="ListParagraph"/>
        <w:numPr>
          <w:ilvl w:val="2"/>
          <w:numId w:val="1"/>
        </w:numPr>
        <w:bidi w:val="0"/>
        <w:spacing w:before="240"/>
        <w:ind w:left="142"/>
        <w:rPr>
          <w:rFonts w:asciiTheme="majorBidi" w:hAnsiTheme="majorBidi"/>
          <w:b/>
          <w:bCs/>
          <w:i/>
          <w:iCs/>
          <w:sz w:val="28"/>
          <w:szCs w:val="28"/>
          <w:lang w:bidi="ar-JO"/>
        </w:rPr>
      </w:pPr>
      <w:r>
        <w:rPr>
          <w:rFonts w:asciiTheme="majorBidi" w:hAnsiTheme="majorBidi"/>
          <w:b/>
          <w:bCs/>
          <w:i/>
          <w:iCs/>
          <w:lang w:bidi="ar-JO"/>
        </w:rPr>
        <w:t>Import Equation Results</w:t>
      </w:r>
      <w:r>
        <w:rPr>
          <w:rFonts w:asciiTheme="majorBidi" w:hAnsiTheme="majorBidi"/>
          <w:b/>
          <w:bCs/>
          <w:i/>
          <w:iCs/>
          <w:sz w:val="28"/>
          <w:szCs w:val="28"/>
          <w:lang w:bidi="ar-JO"/>
        </w:rPr>
        <w:t>.</w:t>
      </w:r>
    </w:p>
    <w:p w:rsidR="00592824" w:rsidRPr="00A27243" w:rsidRDefault="00592824" w:rsidP="00592824">
      <w:pPr>
        <w:pStyle w:val="ListParagraph"/>
        <w:bidi w:val="0"/>
        <w:spacing w:after="0" w:line="360" w:lineRule="auto"/>
        <w:ind w:left="142"/>
        <w:jc w:val="center"/>
        <w:rPr>
          <w:rFonts w:asciiTheme="majorBidi" w:hAnsiTheme="majorBidi"/>
          <w:b/>
          <w:bCs/>
          <w:lang w:bidi="ar-JO"/>
        </w:rPr>
      </w:pPr>
      <w:r w:rsidRPr="00A27243">
        <w:rPr>
          <w:rFonts w:asciiTheme="majorBidi" w:hAnsiTheme="majorBidi"/>
          <w:b/>
          <w:bCs/>
          <w:lang w:bidi="ar-JO"/>
        </w:rPr>
        <w:t xml:space="preserve">Table </w:t>
      </w:r>
      <w:proofErr w:type="gramStart"/>
      <w:r w:rsidRPr="00A27243">
        <w:rPr>
          <w:rFonts w:asciiTheme="majorBidi" w:hAnsiTheme="majorBidi"/>
          <w:b/>
          <w:bCs/>
          <w:lang w:bidi="ar-JO"/>
        </w:rPr>
        <w:t xml:space="preserve">( </w:t>
      </w:r>
      <w:r>
        <w:rPr>
          <w:rFonts w:asciiTheme="majorBidi" w:hAnsiTheme="majorBidi"/>
          <w:b/>
          <w:bCs/>
          <w:lang w:bidi="ar-JO"/>
        </w:rPr>
        <w:t>3</w:t>
      </w:r>
      <w:proofErr w:type="gramEnd"/>
      <w:r w:rsidRPr="00A27243">
        <w:rPr>
          <w:rFonts w:asciiTheme="majorBidi" w:hAnsiTheme="majorBidi"/>
          <w:b/>
          <w:bCs/>
          <w:lang w:bidi="ar-JO"/>
        </w:rPr>
        <w:t>)</w:t>
      </w:r>
    </w:p>
    <w:tbl>
      <w:tblPr>
        <w:tblStyle w:val="TableGrid"/>
        <w:tblW w:w="0" w:type="auto"/>
        <w:tblInd w:w="142" w:type="dxa"/>
        <w:tblLook w:val="04A0" w:firstRow="1" w:lastRow="0" w:firstColumn="1" w:lastColumn="0" w:noHBand="0" w:noVBand="1"/>
      </w:tblPr>
      <w:tblGrid>
        <w:gridCol w:w="2093"/>
        <w:gridCol w:w="2126"/>
        <w:gridCol w:w="1701"/>
        <w:gridCol w:w="1559"/>
      </w:tblGrid>
      <w:tr w:rsidR="00592824" w:rsidTr="00DF435F">
        <w:tc>
          <w:tcPr>
            <w:tcW w:w="2093" w:type="dxa"/>
            <w:shd w:val="clear" w:color="auto" w:fill="B8CCE4" w:themeFill="accent1" w:themeFillTint="66"/>
            <w:vAlign w:val="bottom"/>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Variable</w:t>
            </w:r>
          </w:p>
        </w:tc>
        <w:tc>
          <w:tcPr>
            <w:tcW w:w="2126" w:type="dxa"/>
            <w:shd w:val="clear" w:color="auto" w:fill="B8CCE4" w:themeFill="accent1" w:themeFillTint="66"/>
            <w:vAlign w:val="bottom"/>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Coefficient</w:t>
            </w:r>
          </w:p>
        </w:tc>
        <w:tc>
          <w:tcPr>
            <w:tcW w:w="1701" w:type="dxa"/>
            <w:shd w:val="clear" w:color="auto" w:fill="B8CCE4" w:themeFill="accent1" w:themeFillTint="66"/>
            <w:vAlign w:val="bottom"/>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t-statistic</w:t>
            </w:r>
          </w:p>
        </w:tc>
        <w:tc>
          <w:tcPr>
            <w:tcW w:w="1559" w:type="dxa"/>
            <w:shd w:val="clear" w:color="auto" w:fill="B8CCE4" w:themeFill="accent1" w:themeFillTint="66"/>
            <w:vAlign w:val="bottom"/>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Probability</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LGDP</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0.46</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2.11</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0.038</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LPOP</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1.09</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8.80</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LDIST</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-3.29</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-4.087</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LTOPEN</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0.97</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5.96</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rPr>
                <w:rFonts w:asciiTheme="majorBidi" w:hAnsiTheme="majorBidi"/>
                <w:lang w:bidi="ar-JO"/>
              </w:rPr>
            </w:pPr>
            <w:r>
              <w:rPr>
                <w:rFonts w:asciiTheme="majorBidi" w:hAnsiTheme="majorBidi"/>
                <w:lang w:bidi="ar-JO"/>
              </w:rPr>
              <w:t>C</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36.19</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6.15</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0.000</w:t>
            </w:r>
          </w:p>
        </w:tc>
      </w:tr>
    </w:tbl>
    <w:p w:rsidR="00592824" w:rsidRDefault="00592824" w:rsidP="00592824">
      <w:pPr>
        <w:pStyle w:val="ListParagraph"/>
        <w:bidi w:val="0"/>
        <w:spacing w:after="0" w:line="360" w:lineRule="auto"/>
        <w:ind w:left="142"/>
        <w:jc w:val="both"/>
        <w:rPr>
          <w:rFonts w:asciiTheme="majorBidi" w:hAnsiTheme="majorBidi"/>
          <w:lang w:bidi="ar-JO"/>
        </w:rPr>
      </w:pPr>
      <w:r>
        <w:rPr>
          <w:rFonts w:asciiTheme="majorBidi" w:hAnsiTheme="majorBidi"/>
          <w:lang w:bidi="ar-JO"/>
        </w:rPr>
        <w:t>R</w:t>
      </w:r>
      <w:r w:rsidRPr="00A27243">
        <w:rPr>
          <w:rFonts w:asciiTheme="majorBidi" w:hAnsiTheme="majorBidi"/>
          <w:vertAlign w:val="superscript"/>
          <w:lang w:bidi="ar-JO"/>
        </w:rPr>
        <w:t>2</w:t>
      </w:r>
      <w:r>
        <w:rPr>
          <w:rFonts w:asciiTheme="majorBidi" w:hAnsiTheme="majorBidi"/>
          <w:lang w:bidi="ar-JO"/>
        </w:rPr>
        <w:t>= 0.99 adjusted    R</w:t>
      </w:r>
      <w:r w:rsidRPr="00A27243">
        <w:rPr>
          <w:rFonts w:asciiTheme="majorBidi" w:hAnsiTheme="majorBidi"/>
          <w:vertAlign w:val="superscript"/>
          <w:lang w:bidi="ar-JO"/>
        </w:rPr>
        <w:t>2</w:t>
      </w:r>
      <w:r>
        <w:rPr>
          <w:rFonts w:asciiTheme="majorBidi" w:hAnsiTheme="majorBidi"/>
          <w:lang w:bidi="ar-JO"/>
        </w:rPr>
        <w:t>=0.99    F= 500.9 (P= 0.000)    DW= 1.22</w:t>
      </w:r>
    </w:p>
    <w:p w:rsidR="00592824" w:rsidRDefault="00592824" w:rsidP="00592824">
      <w:pPr>
        <w:pStyle w:val="ListParagraph"/>
        <w:bidi w:val="0"/>
        <w:spacing w:after="0" w:line="360" w:lineRule="auto"/>
        <w:ind w:left="142"/>
        <w:jc w:val="both"/>
        <w:rPr>
          <w:rFonts w:asciiTheme="majorBidi" w:hAnsiTheme="majorBidi"/>
          <w:lang w:bidi="ar-JO"/>
        </w:rPr>
      </w:pPr>
    </w:p>
    <w:p w:rsidR="00592824" w:rsidRDefault="00592824" w:rsidP="00592824">
      <w:pPr>
        <w:pStyle w:val="ListParagraph"/>
        <w:bidi w:val="0"/>
        <w:spacing w:before="240" w:line="360" w:lineRule="auto"/>
        <w:ind w:left="142"/>
        <w:jc w:val="both"/>
        <w:rPr>
          <w:rFonts w:asciiTheme="majorBidi" w:hAnsiTheme="majorBidi"/>
          <w:lang w:bidi="ar-JO"/>
        </w:rPr>
      </w:pPr>
      <w:r>
        <w:rPr>
          <w:rFonts w:asciiTheme="majorBidi" w:hAnsiTheme="majorBidi"/>
          <w:lang w:bidi="ar-JO"/>
        </w:rPr>
        <w:t>It is noticeable from table (3) that GDP, openness and population have a strong positive effect on services imports in MENA countries. On the other side, distance has a negative relationship with services imports, and this might be explained by weak enforcement of bilateral trade agreements, especially agreements addressing trade in services.</w:t>
      </w:r>
    </w:p>
    <w:p w:rsidR="00592824" w:rsidRDefault="00592824" w:rsidP="00592824">
      <w:pPr>
        <w:pStyle w:val="ListParagraph"/>
        <w:bidi w:val="0"/>
        <w:spacing w:before="240" w:line="360" w:lineRule="auto"/>
        <w:ind w:left="142"/>
        <w:jc w:val="both"/>
        <w:rPr>
          <w:rFonts w:asciiTheme="majorBidi" w:hAnsiTheme="majorBidi"/>
          <w:lang w:bidi="ar-JO"/>
        </w:rPr>
      </w:pPr>
      <w:r>
        <w:rPr>
          <w:rFonts w:asciiTheme="majorBidi" w:hAnsiTheme="majorBidi"/>
          <w:lang w:bidi="ar-JO"/>
        </w:rPr>
        <w:t xml:space="preserve">These results reinforce the common belief about imports and its relationship with other key economic variables. Our results are significant with a </w:t>
      </w:r>
      <w:r>
        <w:rPr>
          <w:rFonts w:asciiTheme="majorBidi" w:hAnsiTheme="majorBidi"/>
          <w:i/>
          <w:iCs/>
          <w:lang w:bidi="ar-JO"/>
        </w:rPr>
        <w:t>p</w:t>
      </w:r>
      <w:r>
        <w:rPr>
          <w:rFonts w:asciiTheme="majorBidi" w:hAnsiTheme="majorBidi"/>
          <w:lang w:bidi="ar-JO"/>
        </w:rPr>
        <w:t xml:space="preserve">-value of less than 5.0 percent, and with an exception of GDP being significant with a </w:t>
      </w:r>
      <w:r>
        <w:rPr>
          <w:rFonts w:asciiTheme="majorBidi" w:hAnsiTheme="majorBidi"/>
          <w:i/>
          <w:iCs/>
          <w:lang w:bidi="ar-JO"/>
        </w:rPr>
        <w:t>p</w:t>
      </w:r>
      <w:r>
        <w:rPr>
          <w:rFonts w:asciiTheme="majorBidi" w:hAnsiTheme="majorBidi"/>
          <w:lang w:bidi="ar-JO"/>
        </w:rPr>
        <w:t xml:space="preserve">-value of less than 10.0 percent. Adjusted R-squared indicates a high level of explanation for the model, while the </w:t>
      </w:r>
      <w:r>
        <w:rPr>
          <w:rFonts w:asciiTheme="majorBidi" w:hAnsiTheme="majorBidi"/>
          <w:i/>
          <w:iCs/>
          <w:lang w:bidi="ar-JO"/>
        </w:rPr>
        <w:t>p</w:t>
      </w:r>
      <w:r>
        <w:rPr>
          <w:rFonts w:asciiTheme="majorBidi" w:hAnsiTheme="majorBidi"/>
          <w:lang w:bidi="ar-JO"/>
        </w:rPr>
        <w:t>-value of the F-statistic is almost zero.</w:t>
      </w:r>
    </w:p>
    <w:p w:rsidR="00592824" w:rsidRDefault="00592824" w:rsidP="00592824">
      <w:pPr>
        <w:pStyle w:val="ListParagraph"/>
        <w:bidi w:val="0"/>
        <w:spacing w:after="0" w:line="360" w:lineRule="auto"/>
        <w:ind w:left="142"/>
        <w:jc w:val="both"/>
        <w:rPr>
          <w:rFonts w:asciiTheme="majorBidi" w:hAnsiTheme="majorBidi"/>
          <w:lang w:bidi="ar-JO"/>
        </w:rPr>
      </w:pPr>
    </w:p>
    <w:p w:rsidR="00592824" w:rsidRDefault="00592824" w:rsidP="00592824">
      <w:pPr>
        <w:pStyle w:val="ListParagraph"/>
        <w:bidi w:val="0"/>
        <w:spacing w:after="0" w:line="360" w:lineRule="auto"/>
        <w:ind w:left="142"/>
        <w:jc w:val="both"/>
        <w:rPr>
          <w:rFonts w:asciiTheme="majorBidi" w:hAnsiTheme="majorBidi"/>
          <w:lang w:bidi="ar-JO"/>
        </w:rPr>
      </w:pPr>
    </w:p>
    <w:p w:rsidR="00592824" w:rsidRDefault="00592824" w:rsidP="00592824">
      <w:pPr>
        <w:pStyle w:val="ListParagraph"/>
        <w:numPr>
          <w:ilvl w:val="2"/>
          <w:numId w:val="1"/>
        </w:numPr>
        <w:bidi w:val="0"/>
        <w:spacing w:after="0" w:line="360" w:lineRule="auto"/>
        <w:ind w:left="142"/>
        <w:jc w:val="both"/>
        <w:rPr>
          <w:rFonts w:asciiTheme="majorBidi" w:hAnsiTheme="majorBidi"/>
          <w:lang w:bidi="ar-JO"/>
        </w:rPr>
      </w:pPr>
      <w:r w:rsidRPr="00BA6B72">
        <w:rPr>
          <w:rFonts w:asciiTheme="majorBidi" w:hAnsiTheme="majorBidi"/>
          <w:b/>
          <w:bCs/>
          <w:i/>
          <w:iCs/>
          <w:lang w:bidi="ar-JO"/>
        </w:rPr>
        <w:lastRenderedPageBreak/>
        <w:t>Export Equation Results</w:t>
      </w:r>
      <w:r w:rsidRPr="00BA6B72">
        <w:rPr>
          <w:rFonts w:asciiTheme="majorBidi" w:hAnsiTheme="majorBidi"/>
          <w:b/>
          <w:bCs/>
          <w:i/>
          <w:iCs/>
          <w:sz w:val="28"/>
          <w:szCs w:val="28"/>
          <w:lang w:bidi="ar-JO"/>
        </w:rPr>
        <w:t>.</w:t>
      </w:r>
    </w:p>
    <w:p w:rsidR="00592824" w:rsidRPr="00A27243" w:rsidRDefault="00592824" w:rsidP="00592824">
      <w:pPr>
        <w:pStyle w:val="ListParagraph"/>
        <w:bidi w:val="0"/>
        <w:spacing w:after="0" w:line="360" w:lineRule="auto"/>
        <w:ind w:left="142"/>
        <w:jc w:val="center"/>
        <w:rPr>
          <w:rFonts w:asciiTheme="majorBidi" w:hAnsiTheme="majorBidi"/>
          <w:b/>
          <w:bCs/>
          <w:lang w:bidi="ar-JO"/>
        </w:rPr>
      </w:pPr>
      <w:r w:rsidRPr="00A27243">
        <w:rPr>
          <w:rFonts w:asciiTheme="majorBidi" w:hAnsiTheme="majorBidi"/>
          <w:b/>
          <w:bCs/>
          <w:lang w:bidi="ar-JO"/>
        </w:rPr>
        <w:t xml:space="preserve">Table </w:t>
      </w:r>
      <w:proofErr w:type="gramStart"/>
      <w:r w:rsidRPr="00A27243">
        <w:rPr>
          <w:rFonts w:asciiTheme="majorBidi" w:hAnsiTheme="majorBidi"/>
          <w:b/>
          <w:bCs/>
          <w:lang w:bidi="ar-JO"/>
        </w:rPr>
        <w:t>( 4</w:t>
      </w:r>
      <w:proofErr w:type="gramEnd"/>
      <w:r w:rsidRPr="00A27243">
        <w:rPr>
          <w:rFonts w:asciiTheme="majorBidi" w:hAnsiTheme="majorBidi"/>
          <w:b/>
          <w:bCs/>
          <w:lang w:bidi="ar-JO"/>
        </w:rPr>
        <w:t>)</w:t>
      </w:r>
    </w:p>
    <w:tbl>
      <w:tblPr>
        <w:tblStyle w:val="TableGrid"/>
        <w:tblW w:w="0" w:type="auto"/>
        <w:tblInd w:w="142" w:type="dxa"/>
        <w:tblLook w:val="04A0" w:firstRow="1" w:lastRow="0" w:firstColumn="1" w:lastColumn="0" w:noHBand="0" w:noVBand="1"/>
      </w:tblPr>
      <w:tblGrid>
        <w:gridCol w:w="2093"/>
        <w:gridCol w:w="2126"/>
        <w:gridCol w:w="1701"/>
        <w:gridCol w:w="1559"/>
      </w:tblGrid>
      <w:tr w:rsidR="00592824" w:rsidTr="00DF435F">
        <w:trPr>
          <w:trHeight w:val="404"/>
        </w:trPr>
        <w:tc>
          <w:tcPr>
            <w:tcW w:w="2093"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Variable</w:t>
            </w:r>
          </w:p>
        </w:tc>
        <w:tc>
          <w:tcPr>
            <w:tcW w:w="2126"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Coefficient</w:t>
            </w:r>
          </w:p>
        </w:tc>
        <w:tc>
          <w:tcPr>
            <w:tcW w:w="1701"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t-statistic</w:t>
            </w:r>
          </w:p>
        </w:tc>
        <w:tc>
          <w:tcPr>
            <w:tcW w:w="1559"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Probability</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LGDP</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0.32</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2.79</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0.007</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LPOP</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0.93</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5.79</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LDIST</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-6.83</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-3.05</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0.003</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LTOPEN</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1.06</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3.33</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0.002</w:t>
            </w:r>
          </w:p>
        </w:tc>
      </w:tr>
      <w:tr w:rsidR="00592824" w:rsidTr="00DF435F">
        <w:tc>
          <w:tcPr>
            <w:tcW w:w="2093" w:type="dxa"/>
          </w:tcPr>
          <w:p w:rsidR="00592824" w:rsidRDefault="00592824" w:rsidP="00DF435F">
            <w:pPr>
              <w:pStyle w:val="ListParagraph"/>
              <w:bidi w:val="0"/>
              <w:spacing w:line="360" w:lineRule="auto"/>
              <w:ind w:left="0"/>
              <w:rPr>
                <w:rFonts w:asciiTheme="majorBidi" w:hAnsiTheme="majorBidi"/>
                <w:lang w:bidi="ar-JO"/>
              </w:rPr>
            </w:pPr>
            <w:r>
              <w:rPr>
                <w:rFonts w:asciiTheme="majorBidi" w:hAnsiTheme="majorBidi"/>
                <w:lang w:bidi="ar-JO"/>
              </w:rPr>
              <w:t>C</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62.6</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3.75</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0.004</w:t>
            </w:r>
          </w:p>
        </w:tc>
      </w:tr>
    </w:tbl>
    <w:p w:rsidR="00592824" w:rsidRDefault="00592824" w:rsidP="00592824">
      <w:pPr>
        <w:pStyle w:val="ListParagraph"/>
        <w:bidi w:val="0"/>
        <w:spacing w:after="0" w:line="360" w:lineRule="auto"/>
        <w:ind w:left="142"/>
        <w:jc w:val="both"/>
        <w:rPr>
          <w:rFonts w:asciiTheme="majorBidi" w:hAnsiTheme="majorBidi"/>
          <w:lang w:bidi="ar-JO"/>
        </w:rPr>
      </w:pPr>
      <w:r>
        <w:rPr>
          <w:rFonts w:asciiTheme="majorBidi" w:hAnsiTheme="majorBidi"/>
          <w:lang w:bidi="ar-JO"/>
        </w:rPr>
        <w:t>R</w:t>
      </w:r>
      <w:r w:rsidRPr="00A27243">
        <w:rPr>
          <w:rFonts w:asciiTheme="majorBidi" w:hAnsiTheme="majorBidi"/>
          <w:vertAlign w:val="superscript"/>
          <w:lang w:bidi="ar-JO"/>
        </w:rPr>
        <w:t>2</w:t>
      </w:r>
      <w:r>
        <w:rPr>
          <w:rFonts w:asciiTheme="majorBidi" w:hAnsiTheme="majorBidi"/>
          <w:lang w:bidi="ar-JO"/>
        </w:rPr>
        <w:t>= 0.98 adjusted    R</w:t>
      </w:r>
      <w:r w:rsidRPr="00A27243">
        <w:rPr>
          <w:rFonts w:asciiTheme="majorBidi" w:hAnsiTheme="majorBidi"/>
          <w:vertAlign w:val="superscript"/>
          <w:lang w:bidi="ar-JO"/>
        </w:rPr>
        <w:t>2</w:t>
      </w:r>
      <w:r>
        <w:rPr>
          <w:rFonts w:asciiTheme="majorBidi" w:hAnsiTheme="majorBidi"/>
          <w:lang w:bidi="ar-JO"/>
        </w:rPr>
        <w:t>=0.97    F= 169.5 (P= 0.000)    DW= 1.53</w:t>
      </w:r>
    </w:p>
    <w:p w:rsidR="00592824" w:rsidRDefault="00592824" w:rsidP="00592824">
      <w:pPr>
        <w:pStyle w:val="ListParagraph"/>
        <w:bidi w:val="0"/>
        <w:spacing w:after="0" w:line="360" w:lineRule="auto"/>
        <w:ind w:left="142"/>
        <w:jc w:val="both"/>
        <w:rPr>
          <w:rFonts w:asciiTheme="majorBidi" w:hAnsiTheme="majorBidi"/>
          <w:lang w:bidi="ar-JO"/>
        </w:rPr>
      </w:pPr>
    </w:p>
    <w:p w:rsidR="00592824" w:rsidRDefault="00592824" w:rsidP="00592824">
      <w:pPr>
        <w:pStyle w:val="ListParagraph"/>
        <w:bidi w:val="0"/>
        <w:spacing w:after="0" w:line="360" w:lineRule="auto"/>
        <w:ind w:left="142"/>
        <w:jc w:val="both"/>
        <w:rPr>
          <w:rFonts w:asciiTheme="majorBidi" w:hAnsiTheme="majorBidi"/>
          <w:lang w:bidi="ar-JO"/>
        </w:rPr>
      </w:pPr>
      <w:r>
        <w:rPr>
          <w:rFonts w:asciiTheme="majorBidi" w:hAnsiTheme="majorBidi"/>
          <w:lang w:bidi="ar-JO"/>
        </w:rPr>
        <w:t>Table (4) shows that although GDP also has a positive effect on services exports, this effect differs from the one on services imports. This can be explained by the fact that MENA countries are normally considered as importers of services, especially high value-added services such as professional business services and legal counseling.</w:t>
      </w:r>
    </w:p>
    <w:p w:rsidR="00592824" w:rsidRPr="008B32EE" w:rsidRDefault="00592824" w:rsidP="00592824">
      <w:pPr>
        <w:pStyle w:val="ListParagraph"/>
        <w:bidi w:val="0"/>
        <w:spacing w:after="0" w:line="360" w:lineRule="auto"/>
        <w:ind w:left="142"/>
        <w:jc w:val="both"/>
        <w:rPr>
          <w:rFonts w:asciiTheme="majorBidi" w:hAnsiTheme="majorBidi"/>
          <w:lang w:bidi="ar-JO"/>
        </w:rPr>
      </w:pPr>
      <w:r>
        <w:rPr>
          <w:rFonts w:asciiTheme="majorBidi" w:hAnsiTheme="majorBidi"/>
          <w:lang w:bidi="ar-JO"/>
        </w:rPr>
        <w:t xml:space="preserve">It is also noticed that the significance of this estimation is strong, with the </w:t>
      </w:r>
      <w:r>
        <w:rPr>
          <w:rFonts w:asciiTheme="majorBidi" w:hAnsiTheme="majorBidi"/>
          <w:i/>
          <w:iCs/>
          <w:lang w:bidi="ar-JO"/>
        </w:rPr>
        <w:t>p</w:t>
      </w:r>
      <w:r>
        <w:rPr>
          <w:rFonts w:asciiTheme="majorBidi" w:hAnsiTheme="majorBidi"/>
          <w:lang w:bidi="ar-JO"/>
        </w:rPr>
        <w:t xml:space="preserve">-value of the </w:t>
      </w:r>
      <w:r>
        <w:rPr>
          <w:rFonts w:asciiTheme="majorBidi" w:hAnsiTheme="majorBidi"/>
          <w:i/>
          <w:iCs/>
          <w:lang w:bidi="ar-JO"/>
        </w:rPr>
        <w:t>F</w:t>
      </w:r>
      <w:r>
        <w:rPr>
          <w:rFonts w:asciiTheme="majorBidi" w:hAnsiTheme="majorBidi"/>
          <w:lang w:bidi="ar-JO"/>
        </w:rPr>
        <w:t xml:space="preserve">-statistic being almost zero, and </w:t>
      </w:r>
      <w:r>
        <w:rPr>
          <w:rFonts w:asciiTheme="majorBidi" w:hAnsiTheme="majorBidi"/>
          <w:i/>
          <w:iCs/>
          <w:lang w:bidi="ar-JO"/>
        </w:rPr>
        <w:t>p</w:t>
      </w:r>
      <w:r>
        <w:rPr>
          <w:rFonts w:asciiTheme="majorBidi" w:hAnsiTheme="majorBidi"/>
          <w:i/>
          <w:iCs/>
          <w:lang w:bidi="ar-JO"/>
        </w:rPr>
        <w:softHyphen/>
      </w:r>
      <w:r>
        <w:rPr>
          <w:rFonts w:asciiTheme="majorBidi" w:hAnsiTheme="majorBidi"/>
          <w:lang w:bidi="ar-JO"/>
        </w:rPr>
        <w:t>-values for all the variables being significant at a 5.0 percent level.</w:t>
      </w:r>
    </w:p>
    <w:p w:rsidR="00592824" w:rsidRDefault="00592824" w:rsidP="00592824">
      <w:pPr>
        <w:pStyle w:val="ListParagraph"/>
        <w:bidi w:val="0"/>
        <w:spacing w:after="0" w:line="360" w:lineRule="auto"/>
        <w:ind w:left="142"/>
        <w:jc w:val="both"/>
        <w:rPr>
          <w:rFonts w:asciiTheme="majorBidi" w:hAnsiTheme="majorBidi"/>
          <w:b/>
          <w:bCs/>
          <w:i/>
          <w:iCs/>
          <w:sz w:val="28"/>
          <w:szCs w:val="28"/>
          <w:lang w:bidi="ar-JO"/>
        </w:rPr>
      </w:pPr>
    </w:p>
    <w:p w:rsidR="00592824" w:rsidRPr="008A7E22" w:rsidRDefault="00592824" w:rsidP="00592824">
      <w:pPr>
        <w:pStyle w:val="ListParagraph"/>
        <w:bidi w:val="0"/>
        <w:spacing w:after="0" w:line="360" w:lineRule="auto"/>
        <w:ind w:left="142"/>
        <w:jc w:val="both"/>
        <w:rPr>
          <w:rFonts w:asciiTheme="majorBidi" w:hAnsiTheme="majorBidi"/>
          <w:b/>
          <w:bCs/>
          <w:i/>
          <w:iCs/>
          <w:sz w:val="28"/>
          <w:szCs w:val="28"/>
          <w:lang w:bidi="ar-JO"/>
        </w:rPr>
      </w:pPr>
    </w:p>
    <w:p w:rsidR="00592824" w:rsidRDefault="00592824" w:rsidP="00592824">
      <w:pPr>
        <w:pStyle w:val="ListParagraph"/>
        <w:numPr>
          <w:ilvl w:val="2"/>
          <w:numId w:val="1"/>
        </w:numPr>
        <w:bidi w:val="0"/>
        <w:ind w:left="142"/>
        <w:rPr>
          <w:rFonts w:asciiTheme="majorBidi" w:hAnsiTheme="majorBidi"/>
          <w:b/>
          <w:bCs/>
          <w:i/>
          <w:iCs/>
          <w:sz w:val="28"/>
          <w:szCs w:val="28"/>
          <w:lang w:bidi="ar-JO"/>
        </w:rPr>
      </w:pPr>
      <w:r>
        <w:rPr>
          <w:rFonts w:asciiTheme="majorBidi" w:hAnsiTheme="majorBidi"/>
          <w:b/>
          <w:bCs/>
          <w:i/>
          <w:iCs/>
          <w:lang w:bidi="ar-JO"/>
        </w:rPr>
        <w:t>Trade Balance Equation Results</w:t>
      </w:r>
      <w:r>
        <w:rPr>
          <w:rFonts w:asciiTheme="majorBidi" w:hAnsiTheme="majorBidi"/>
          <w:b/>
          <w:bCs/>
          <w:i/>
          <w:iCs/>
          <w:sz w:val="28"/>
          <w:szCs w:val="28"/>
          <w:lang w:bidi="ar-JO"/>
        </w:rPr>
        <w:t>.</w:t>
      </w:r>
    </w:p>
    <w:p w:rsidR="00592824" w:rsidRPr="00A27243" w:rsidRDefault="00592824" w:rsidP="00592824">
      <w:pPr>
        <w:pStyle w:val="ListParagraph"/>
        <w:bidi w:val="0"/>
        <w:spacing w:after="0" w:line="360" w:lineRule="auto"/>
        <w:ind w:left="142"/>
        <w:jc w:val="center"/>
        <w:rPr>
          <w:rFonts w:asciiTheme="majorBidi" w:hAnsiTheme="majorBidi"/>
          <w:b/>
          <w:bCs/>
          <w:lang w:bidi="ar-JO"/>
        </w:rPr>
      </w:pPr>
      <w:r w:rsidRPr="00A27243">
        <w:rPr>
          <w:rFonts w:asciiTheme="majorBidi" w:hAnsiTheme="majorBidi"/>
          <w:b/>
          <w:bCs/>
          <w:lang w:bidi="ar-JO"/>
        </w:rPr>
        <w:t xml:space="preserve">Table </w:t>
      </w:r>
      <w:proofErr w:type="gramStart"/>
      <w:r w:rsidRPr="00A27243">
        <w:rPr>
          <w:rFonts w:asciiTheme="majorBidi" w:hAnsiTheme="majorBidi"/>
          <w:b/>
          <w:bCs/>
          <w:lang w:bidi="ar-JO"/>
        </w:rPr>
        <w:t xml:space="preserve">( </w:t>
      </w:r>
      <w:r>
        <w:rPr>
          <w:rFonts w:asciiTheme="majorBidi" w:hAnsiTheme="majorBidi"/>
          <w:b/>
          <w:bCs/>
          <w:lang w:bidi="ar-JO"/>
        </w:rPr>
        <w:t>5</w:t>
      </w:r>
      <w:proofErr w:type="gramEnd"/>
      <w:r w:rsidRPr="00A27243">
        <w:rPr>
          <w:rFonts w:asciiTheme="majorBidi" w:hAnsiTheme="majorBidi"/>
          <w:b/>
          <w:bCs/>
          <w:lang w:bidi="ar-JO"/>
        </w:rPr>
        <w:t>)</w:t>
      </w:r>
    </w:p>
    <w:tbl>
      <w:tblPr>
        <w:tblStyle w:val="TableGrid"/>
        <w:tblW w:w="0" w:type="auto"/>
        <w:tblInd w:w="142" w:type="dxa"/>
        <w:tblLook w:val="04A0" w:firstRow="1" w:lastRow="0" w:firstColumn="1" w:lastColumn="0" w:noHBand="0" w:noVBand="1"/>
      </w:tblPr>
      <w:tblGrid>
        <w:gridCol w:w="2093"/>
        <w:gridCol w:w="2126"/>
        <w:gridCol w:w="1701"/>
        <w:gridCol w:w="1559"/>
      </w:tblGrid>
      <w:tr w:rsidR="00592824" w:rsidTr="00DF435F">
        <w:tc>
          <w:tcPr>
            <w:tcW w:w="2093" w:type="dxa"/>
            <w:shd w:val="clear" w:color="auto" w:fill="B8CCE4" w:themeFill="accent1" w:themeFillTint="66"/>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Variable</w:t>
            </w:r>
          </w:p>
        </w:tc>
        <w:tc>
          <w:tcPr>
            <w:tcW w:w="2126" w:type="dxa"/>
            <w:shd w:val="clear" w:color="auto" w:fill="B8CCE4" w:themeFill="accent1" w:themeFillTint="66"/>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Coefficient</w:t>
            </w:r>
          </w:p>
        </w:tc>
        <w:tc>
          <w:tcPr>
            <w:tcW w:w="1701" w:type="dxa"/>
            <w:shd w:val="clear" w:color="auto" w:fill="B8CCE4" w:themeFill="accent1" w:themeFillTint="66"/>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t-statistic</w:t>
            </w:r>
          </w:p>
        </w:tc>
        <w:tc>
          <w:tcPr>
            <w:tcW w:w="1559" w:type="dxa"/>
            <w:shd w:val="clear" w:color="auto" w:fill="B8CCE4" w:themeFill="accent1" w:themeFillTint="66"/>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Probability</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LGDP</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0.85</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2.02</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0.061</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LPOP</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2.50</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3.16</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0.007</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LDIST</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-0.92</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-0.56</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0.582</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LTOPEN</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1.00</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3.08</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0.007</w:t>
            </w:r>
          </w:p>
        </w:tc>
      </w:tr>
      <w:tr w:rsidR="00592824" w:rsidTr="00DF435F">
        <w:tc>
          <w:tcPr>
            <w:tcW w:w="2093" w:type="dxa"/>
          </w:tcPr>
          <w:p w:rsidR="00592824" w:rsidRDefault="00592824" w:rsidP="00DF435F">
            <w:pPr>
              <w:pStyle w:val="ListParagraph"/>
              <w:bidi w:val="0"/>
              <w:spacing w:line="360" w:lineRule="auto"/>
              <w:ind w:left="0"/>
              <w:rPr>
                <w:rFonts w:asciiTheme="majorBidi" w:hAnsiTheme="majorBidi"/>
                <w:lang w:bidi="ar-JO"/>
              </w:rPr>
            </w:pPr>
            <w:r>
              <w:rPr>
                <w:rFonts w:asciiTheme="majorBidi" w:hAnsiTheme="majorBidi"/>
                <w:lang w:bidi="ar-JO"/>
              </w:rPr>
              <w:t>C</w:t>
            </w:r>
          </w:p>
        </w:tc>
        <w:tc>
          <w:tcPr>
            <w:tcW w:w="2126"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20.9</w:t>
            </w:r>
          </w:p>
        </w:tc>
        <w:tc>
          <w:tcPr>
            <w:tcW w:w="1701"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1.95</w:t>
            </w:r>
          </w:p>
        </w:tc>
        <w:tc>
          <w:tcPr>
            <w:tcW w:w="1559"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0.068</w:t>
            </w:r>
          </w:p>
        </w:tc>
      </w:tr>
    </w:tbl>
    <w:p w:rsidR="00592824" w:rsidRDefault="00592824" w:rsidP="00592824">
      <w:pPr>
        <w:pStyle w:val="ListParagraph"/>
        <w:bidi w:val="0"/>
        <w:spacing w:after="0" w:line="360" w:lineRule="auto"/>
        <w:ind w:left="142"/>
        <w:jc w:val="both"/>
        <w:rPr>
          <w:rFonts w:asciiTheme="majorBidi" w:hAnsiTheme="majorBidi"/>
          <w:lang w:bidi="ar-JO"/>
        </w:rPr>
      </w:pPr>
      <w:r>
        <w:rPr>
          <w:rFonts w:asciiTheme="majorBidi" w:hAnsiTheme="majorBidi"/>
          <w:lang w:bidi="ar-JO"/>
        </w:rPr>
        <w:t>R</w:t>
      </w:r>
      <w:r w:rsidRPr="00A27243">
        <w:rPr>
          <w:rFonts w:asciiTheme="majorBidi" w:hAnsiTheme="majorBidi"/>
          <w:vertAlign w:val="superscript"/>
          <w:lang w:bidi="ar-JO"/>
        </w:rPr>
        <w:t>2</w:t>
      </w:r>
      <w:r>
        <w:rPr>
          <w:rFonts w:asciiTheme="majorBidi" w:hAnsiTheme="majorBidi"/>
          <w:lang w:bidi="ar-JO"/>
        </w:rPr>
        <w:t>= 0.98 adjusted    R</w:t>
      </w:r>
      <w:r w:rsidRPr="00A27243">
        <w:rPr>
          <w:rFonts w:asciiTheme="majorBidi" w:hAnsiTheme="majorBidi"/>
          <w:vertAlign w:val="superscript"/>
          <w:lang w:bidi="ar-JO"/>
        </w:rPr>
        <w:t>2</w:t>
      </w:r>
      <w:r>
        <w:rPr>
          <w:rFonts w:asciiTheme="majorBidi" w:hAnsiTheme="majorBidi"/>
          <w:lang w:bidi="ar-JO"/>
        </w:rPr>
        <w:t>=0.97   F= 90.13 (P= 0.000)    DW= 2.07</w:t>
      </w:r>
    </w:p>
    <w:p w:rsidR="00592824" w:rsidRDefault="00592824" w:rsidP="00592824">
      <w:pPr>
        <w:pStyle w:val="ListParagraph"/>
        <w:bidi w:val="0"/>
        <w:spacing w:before="240" w:line="360" w:lineRule="auto"/>
        <w:ind w:left="142"/>
        <w:jc w:val="both"/>
        <w:rPr>
          <w:rFonts w:asciiTheme="majorBidi" w:hAnsiTheme="majorBidi"/>
          <w:lang w:bidi="ar-JO"/>
        </w:rPr>
      </w:pPr>
    </w:p>
    <w:p w:rsidR="00592824" w:rsidRDefault="00592824" w:rsidP="00592824">
      <w:pPr>
        <w:pStyle w:val="ListParagraph"/>
        <w:bidi w:val="0"/>
        <w:spacing w:before="240" w:line="360" w:lineRule="auto"/>
        <w:ind w:left="142"/>
        <w:jc w:val="both"/>
        <w:rPr>
          <w:rFonts w:asciiTheme="majorBidi" w:hAnsiTheme="majorBidi"/>
          <w:lang w:bidi="ar-JO"/>
        </w:rPr>
      </w:pPr>
      <w:r w:rsidRPr="00BA6B72">
        <w:rPr>
          <w:rFonts w:asciiTheme="majorBidi" w:hAnsiTheme="majorBidi"/>
          <w:lang w:bidi="ar-JO"/>
        </w:rPr>
        <w:t xml:space="preserve">The trade balance equation shows a different result. </w:t>
      </w:r>
      <w:r>
        <w:rPr>
          <w:rFonts w:asciiTheme="majorBidi" w:hAnsiTheme="majorBidi"/>
          <w:lang w:bidi="ar-JO"/>
        </w:rPr>
        <w:t xml:space="preserve">The </w:t>
      </w:r>
      <w:r w:rsidRPr="00BA6B72">
        <w:rPr>
          <w:rFonts w:asciiTheme="majorBidi" w:hAnsiTheme="majorBidi"/>
          <w:lang w:bidi="ar-JO"/>
        </w:rPr>
        <w:t>trade balance</w:t>
      </w:r>
      <w:r>
        <w:rPr>
          <w:rFonts w:asciiTheme="majorBidi" w:hAnsiTheme="majorBidi"/>
          <w:lang w:bidi="ar-JO"/>
        </w:rPr>
        <w:t xml:space="preserve"> results</w:t>
      </w:r>
      <w:r w:rsidRPr="00BA6B72">
        <w:rPr>
          <w:rFonts w:asciiTheme="majorBidi" w:hAnsiTheme="majorBidi"/>
          <w:lang w:bidi="ar-JO"/>
        </w:rPr>
        <w:t xml:space="preserve"> clearly explained by </w:t>
      </w:r>
      <w:r>
        <w:rPr>
          <w:rFonts w:asciiTheme="majorBidi" w:hAnsiTheme="majorBidi"/>
          <w:lang w:bidi="ar-JO"/>
        </w:rPr>
        <w:t xml:space="preserve">the </w:t>
      </w:r>
      <w:r w:rsidRPr="00BA6B72">
        <w:rPr>
          <w:rFonts w:asciiTheme="majorBidi" w:hAnsiTheme="majorBidi"/>
          <w:lang w:bidi="ar-JO"/>
        </w:rPr>
        <w:t xml:space="preserve">GDP, population and trade openness. However, distance does not explain a significant amount of the behavior of trade balance, indicating that a </w:t>
      </w:r>
      <w:r w:rsidRPr="00BA6B72">
        <w:rPr>
          <w:rFonts w:asciiTheme="majorBidi" w:hAnsiTheme="majorBidi"/>
          <w:lang w:bidi="ar-JO"/>
        </w:rPr>
        <w:lastRenderedPageBreak/>
        <w:t>country's trade position with the world is n</w:t>
      </w:r>
      <w:r>
        <w:rPr>
          <w:rFonts w:asciiTheme="majorBidi" w:hAnsiTheme="majorBidi"/>
          <w:lang w:bidi="ar-JO"/>
        </w:rPr>
        <w:t>ot affected by distance. We have also</w:t>
      </w:r>
      <w:r w:rsidRPr="00BA6B72">
        <w:rPr>
          <w:rFonts w:asciiTheme="majorBidi" w:hAnsiTheme="majorBidi"/>
          <w:lang w:bidi="ar-JO"/>
        </w:rPr>
        <w:t xml:space="preserve"> included an autoregressive variable to see whether it helps in explaining the behavior of trade balance. The resulting coefficient suggests that trade balance is positively affected by its historical levels.</w:t>
      </w:r>
    </w:p>
    <w:p w:rsidR="00592824" w:rsidRDefault="00592824" w:rsidP="00592824">
      <w:pPr>
        <w:pStyle w:val="ListParagraph"/>
        <w:bidi w:val="0"/>
        <w:spacing w:before="240" w:line="360" w:lineRule="auto"/>
        <w:ind w:left="142"/>
        <w:jc w:val="both"/>
        <w:rPr>
          <w:rFonts w:asciiTheme="majorBidi" w:hAnsiTheme="majorBidi"/>
          <w:lang w:bidi="ar-JO"/>
        </w:rPr>
      </w:pPr>
      <w:r>
        <w:rPr>
          <w:rFonts w:asciiTheme="majorBidi" w:hAnsiTheme="majorBidi"/>
          <w:lang w:bidi="ar-JO"/>
        </w:rPr>
        <w:t>Moreover, the model’s significance can be illustrated by the test statistics at the bottom of the table. Nevertheless, the distance variable doesn’t seem to be statistically significant as an explanatory variable.</w:t>
      </w:r>
    </w:p>
    <w:p w:rsidR="00592824" w:rsidRPr="008A7E22" w:rsidRDefault="00592824" w:rsidP="00592824">
      <w:pPr>
        <w:pStyle w:val="ListParagraph"/>
        <w:bidi w:val="0"/>
        <w:spacing w:before="240" w:line="360" w:lineRule="auto"/>
        <w:ind w:left="142"/>
        <w:jc w:val="both"/>
        <w:rPr>
          <w:rFonts w:asciiTheme="majorBidi" w:hAnsiTheme="majorBidi"/>
          <w:b/>
          <w:bCs/>
          <w:iCs/>
          <w:sz w:val="28"/>
          <w:szCs w:val="28"/>
          <w:lang w:bidi="ar-JO"/>
        </w:rPr>
      </w:pPr>
    </w:p>
    <w:p w:rsidR="00592824" w:rsidRDefault="00592824" w:rsidP="00592824">
      <w:pPr>
        <w:pStyle w:val="ListParagraph"/>
        <w:numPr>
          <w:ilvl w:val="2"/>
          <w:numId w:val="1"/>
        </w:numPr>
        <w:bidi w:val="0"/>
        <w:ind w:left="142"/>
        <w:jc w:val="both"/>
        <w:rPr>
          <w:rFonts w:asciiTheme="majorBidi" w:hAnsiTheme="majorBidi"/>
          <w:b/>
          <w:bCs/>
          <w:iCs/>
          <w:sz w:val="28"/>
          <w:szCs w:val="28"/>
          <w:lang w:bidi="ar-JO"/>
        </w:rPr>
      </w:pPr>
      <w:r>
        <w:rPr>
          <w:rFonts w:asciiTheme="majorBidi" w:hAnsiTheme="majorBidi"/>
          <w:b/>
          <w:bCs/>
          <w:i/>
          <w:iCs/>
          <w:lang w:bidi="ar-JO"/>
        </w:rPr>
        <w:t xml:space="preserve">The Results of the “Total Trade in Services” Equation </w:t>
      </w:r>
    </w:p>
    <w:p w:rsidR="00592824" w:rsidRPr="00A27243" w:rsidRDefault="00592824" w:rsidP="00592824">
      <w:pPr>
        <w:pStyle w:val="ListParagraph"/>
        <w:bidi w:val="0"/>
        <w:spacing w:after="0" w:line="360" w:lineRule="auto"/>
        <w:ind w:left="142"/>
        <w:jc w:val="center"/>
        <w:rPr>
          <w:rFonts w:asciiTheme="majorBidi" w:hAnsiTheme="majorBidi"/>
          <w:b/>
          <w:bCs/>
          <w:lang w:bidi="ar-JO"/>
        </w:rPr>
      </w:pPr>
      <w:r w:rsidRPr="00A27243">
        <w:rPr>
          <w:rFonts w:asciiTheme="majorBidi" w:hAnsiTheme="majorBidi"/>
          <w:b/>
          <w:bCs/>
          <w:lang w:bidi="ar-JO"/>
        </w:rPr>
        <w:t xml:space="preserve">Table </w:t>
      </w:r>
      <w:proofErr w:type="gramStart"/>
      <w:r w:rsidRPr="00A27243">
        <w:rPr>
          <w:rFonts w:asciiTheme="majorBidi" w:hAnsiTheme="majorBidi"/>
          <w:b/>
          <w:bCs/>
          <w:lang w:bidi="ar-JO"/>
        </w:rPr>
        <w:t xml:space="preserve">( </w:t>
      </w:r>
      <w:r>
        <w:rPr>
          <w:rFonts w:asciiTheme="majorBidi" w:hAnsiTheme="majorBidi"/>
          <w:b/>
          <w:bCs/>
          <w:lang w:bidi="ar-JO"/>
        </w:rPr>
        <w:t>6</w:t>
      </w:r>
      <w:proofErr w:type="gramEnd"/>
      <w:r w:rsidRPr="00A27243">
        <w:rPr>
          <w:rFonts w:asciiTheme="majorBidi" w:hAnsiTheme="majorBidi"/>
          <w:b/>
          <w:bCs/>
          <w:lang w:bidi="ar-JO"/>
        </w:rPr>
        <w:t>)</w:t>
      </w:r>
    </w:p>
    <w:tbl>
      <w:tblPr>
        <w:tblStyle w:val="TableGrid"/>
        <w:tblW w:w="0" w:type="auto"/>
        <w:tblInd w:w="142" w:type="dxa"/>
        <w:tblLook w:val="04A0" w:firstRow="1" w:lastRow="0" w:firstColumn="1" w:lastColumn="0" w:noHBand="0" w:noVBand="1"/>
      </w:tblPr>
      <w:tblGrid>
        <w:gridCol w:w="2093"/>
        <w:gridCol w:w="2126"/>
        <w:gridCol w:w="1701"/>
        <w:gridCol w:w="1559"/>
      </w:tblGrid>
      <w:tr w:rsidR="00592824" w:rsidTr="00DF435F">
        <w:tc>
          <w:tcPr>
            <w:tcW w:w="2093"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Variable</w:t>
            </w:r>
          </w:p>
        </w:tc>
        <w:tc>
          <w:tcPr>
            <w:tcW w:w="2126"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Coefficient</w:t>
            </w:r>
          </w:p>
        </w:tc>
        <w:tc>
          <w:tcPr>
            <w:tcW w:w="1701"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t-statistic</w:t>
            </w:r>
          </w:p>
        </w:tc>
        <w:tc>
          <w:tcPr>
            <w:tcW w:w="1559" w:type="dxa"/>
            <w:shd w:val="clear" w:color="auto" w:fill="B8CCE4" w:themeFill="accent1" w:themeFillTint="66"/>
            <w:vAlign w:val="center"/>
          </w:tcPr>
          <w:p w:rsidR="00592824" w:rsidRPr="00674448" w:rsidRDefault="00592824" w:rsidP="00DF435F">
            <w:pPr>
              <w:bidi w:val="0"/>
              <w:ind w:left="-38"/>
              <w:jc w:val="center"/>
              <w:rPr>
                <w:rFonts w:asciiTheme="majorBidi" w:hAnsiTheme="majorBidi"/>
                <w:b/>
                <w:bCs/>
                <w:lang w:bidi="ar-JO"/>
              </w:rPr>
            </w:pPr>
            <w:r w:rsidRPr="00674448">
              <w:rPr>
                <w:rFonts w:asciiTheme="majorBidi" w:hAnsiTheme="majorBidi"/>
                <w:b/>
                <w:bCs/>
                <w:lang w:bidi="ar-JO"/>
              </w:rPr>
              <w:t>Probability</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LGDP</w:t>
            </w:r>
          </w:p>
        </w:tc>
        <w:tc>
          <w:tcPr>
            <w:tcW w:w="2126"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0.355</w:t>
            </w:r>
          </w:p>
        </w:tc>
        <w:tc>
          <w:tcPr>
            <w:tcW w:w="1701"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2.64</w:t>
            </w:r>
          </w:p>
        </w:tc>
        <w:tc>
          <w:tcPr>
            <w:tcW w:w="1559"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0.010</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LPOP</w:t>
            </w:r>
          </w:p>
        </w:tc>
        <w:tc>
          <w:tcPr>
            <w:tcW w:w="2126"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1.06</w:t>
            </w:r>
          </w:p>
        </w:tc>
        <w:tc>
          <w:tcPr>
            <w:tcW w:w="1701"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10.85</w:t>
            </w:r>
          </w:p>
        </w:tc>
        <w:tc>
          <w:tcPr>
            <w:tcW w:w="1559"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LDIST</w:t>
            </w:r>
          </w:p>
        </w:tc>
        <w:tc>
          <w:tcPr>
            <w:tcW w:w="2126"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-5.37</w:t>
            </w:r>
          </w:p>
        </w:tc>
        <w:tc>
          <w:tcPr>
            <w:tcW w:w="1701"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-5.29</w:t>
            </w:r>
          </w:p>
        </w:tc>
        <w:tc>
          <w:tcPr>
            <w:tcW w:w="1559" w:type="dxa"/>
          </w:tcPr>
          <w:p w:rsidR="00592824" w:rsidRDefault="00592824" w:rsidP="00DF435F">
            <w:pPr>
              <w:jc w:val="center"/>
            </w:pPr>
            <w:r w:rsidRPr="00A6131B">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jc w:val="both"/>
              <w:rPr>
                <w:rFonts w:asciiTheme="majorBidi" w:hAnsiTheme="majorBidi"/>
                <w:lang w:bidi="ar-JO"/>
              </w:rPr>
            </w:pPr>
            <w:r>
              <w:rPr>
                <w:rFonts w:asciiTheme="majorBidi" w:hAnsiTheme="majorBidi"/>
                <w:lang w:bidi="ar-JO"/>
              </w:rPr>
              <w:t>LTOPEN</w:t>
            </w:r>
          </w:p>
        </w:tc>
        <w:tc>
          <w:tcPr>
            <w:tcW w:w="2126"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1.02</w:t>
            </w:r>
          </w:p>
        </w:tc>
        <w:tc>
          <w:tcPr>
            <w:tcW w:w="1701"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6.32</w:t>
            </w:r>
          </w:p>
        </w:tc>
        <w:tc>
          <w:tcPr>
            <w:tcW w:w="1559" w:type="dxa"/>
          </w:tcPr>
          <w:p w:rsidR="00592824" w:rsidRDefault="00592824" w:rsidP="00DF435F">
            <w:pPr>
              <w:jc w:val="center"/>
            </w:pPr>
            <w:r w:rsidRPr="00A6131B">
              <w:rPr>
                <w:rFonts w:asciiTheme="majorBidi" w:hAnsiTheme="majorBidi"/>
                <w:lang w:bidi="ar-JO"/>
              </w:rPr>
              <w:t>0.000</w:t>
            </w:r>
          </w:p>
        </w:tc>
      </w:tr>
      <w:tr w:rsidR="00592824" w:rsidTr="00DF435F">
        <w:tc>
          <w:tcPr>
            <w:tcW w:w="2093" w:type="dxa"/>
          </w:tcPr>
          <w:p w:rsidR="00592824" w:rsidRDefault="00592824" w:rsidP="00DF435F">
            <w:pPr>
              <w:pStyle w:val="ListParagraph"/>
              <w:bidi w:val="0"/>
              <w:spacing w:line="360" w:lineRule="auto"/>
              <w:ind w:left="0"/>
              <w:rPr>
                <w:rFonts w:asciiTheme="majorBidi" w:hAnsiTheme="majorBidi"/>
                <w:lang w:bidi="ar-JO"/>
              </w:rPr>
            </w:pPr>
            <w:r>
              <w:rPr>
                <w:rFonts w:asciiTheme="majorBidi" w:hAnsiTheme="majorBidi"/>
                <w:lang w:bidi="ar-JO"/>
              </w:rPr>
              <w:t>C</w:t>
            </w:r>
          </w:p>
        </w:tc>
        <w:tc>
          <w:tcPr>
            <w:tcW w:w="2126"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52.92</w:t>
            </w:r>
          </w:p>
        </w:tc>
        <w:tc>
          <w:tcPr>
            <w:tcW w:w="1701" w:type="dxa"/>
          </w:tcPr>
          <w:p w:rsidR="00592824" w:rsidRDefault="00592824" w:rsidP="00DF435F">
            <w:pPr>
              <w:pStyle w:val="ListParagraph"/>
              <w:bidi w:val="0"/>
              <w:spacing w:line="360" w:lineRule="auto"/>
              <w:ind w:left="0"/>
              <w:jc w:val="center"/>
              <w:rPr>
                <w:rFonts w:asciiTheme="majorBidi" w:hAnsiTheme="majorBidi"/>
                <w:lang w:bidi="ar-JO"/>
              </w:rPr>
            </w:pPr>
            <w:r>
              <w:rPr>
                <w:rFonts w:asciiTheme="majorBidi" w:hAnsiTheme="majorBidi"/>
                <w:lang w:bidi="ar-JO"/>
              </w:rPr>
              <w:t>7.36</w:t>
            </w:r>
          </w:p>
        </w:tc>
        <w:tc>
          <w:tcPr>
            <w:tcW w:w="1559" w:type="dxa"/>
          </w:tcPr>
          <w:p w:rsidR="00592824" w:rsidRDefault="00592824" w:rsidP="00DF435F">
            <w:pPr>
              <w:jc w:val="center"/>
            </w:pPr>
            <w:r w:rsidRPr="00A6131B">
              <w:rPr>
                <w:rFonts w:asciiTheme="majorBidi" w:hAnsiTheme="majorBidi"/>
                <w:lang w:bidi="ar-JO"/>
              </w:rPr>
              <w:t>0.000</w:t>
            </w:r>
          </w:p>
        </w:tc>
      </w:tr>
    </w:tbl>
    <w:p w:rsidR="00592824" w:rsidRDefault="00592824" w:rsidP="00592824">
      <w:pPr>
        <w:pStyle w:val="ListParagraph"/>
        <w:bidi w:val="0"/>
        <w:spacing w:after="0" w:line="360" w:lineRule="auto"/>
        <w:ind w:left="142"/>
        <w:jc w:val="both"/>
        <w:rPr>
          <w:rFonts w:asciiTheme="majorBidi" w:hAnsiTheme="majorBidi"/>
          <w:lang w:bidi="ar-JO"/>
        </w:rPr>
      </w:pPr>
      <w:r>
        <w:rPr>
          <w:rFonts w:asciiTheme="majorBidi" w:hAnsiTheme="majorBidi"/>
          <w:lang w:bidi="ar-JO"/>
        </w:rPr>
        <w:t>R</w:t>
      </w:r>
      <w:r w:rsidRPr="00A27243">
        <w:rPr>
          <w:rFonts w:asciiTheme="majorBidi" w:hAnsiTheme="majorBidi"/>
          <w:vertAlign w:val="superscript"/>
          <w:lang w:bidi="ar-JO"/>
        </w:rPr>
        <w:t>2</w:t>
      </w:r>
      <w:r>
        <w:rPr>
          <w:rFonts w:asciiTheme="majorBidi" w:hAnsiTheme="majorBidi"/>
          <w:lang w:bidi="ar-JO"/>
        </w:rPr>
        <w:t>= 0.98 adjusted    R</w:t>
      </w:r>
      <w:r w:rsidRPr="00A27243">
        <w:rPr>
          <w:rFonts w:asciiTheme="majorBidi" w:hAnsiTheme="majorBidi"/>
          <w:vertAlign w:val="superscript"/>
          <w:lang w:bidi="ar-JO"/>
        </w:rPr>
        <w:t>2</w:t>
      </w:r>
      <w:r>
        <w:rPr>
          <w:rFonts w:asciiTheme="majorBidi" w:hAnsiTheme="majorBidi"/>
          <w:lang w:bidi="ar-JO"/>
        </w:rPr>
        <w:t>=0.98   F= 295.3 (P= 0.000)    DW= 1.3</w:t>
      </w:r>
    </w:p>
    <w:p w:rsidR="00592824" w:rsidRDefault="00592824" w:rsidP="00592824">
      <w:pPr>
        <w:pStyle w:val="ListParagraph"/>
        <w:bidi w:val="0"/>
        <w:spacing w:before="240" w:line="360" w:lineRule="auto"/>
        <w:ind w:left="142"/>
        <w:jc w:val="both"/>
        <w:rPr>
          <w:rFonts w:asciiTheme="majorBidi" w:hAnsiTheme="majorBidi"/>
          <w:lang w:bidi="ar-JO"/>
        </w:rPr>
      </w:pPr>
      <w:r w:rsidRPr="00BA6B72">
        <w:rPr>
          <w:rFonts w:asciiTheme="majorBidi" w:hAnsiTheme="majorBidi"/>
          <w:lang w:bidi="ar-JO"/>
        </w:rPr>
        <w:t>Total services trade is highly affected by trade openness levels, distance and population figures. The direction of the relationship between total services trade and these key variables is the same for our previous equations; there is a positive relationship between total trade in services and openness and population, while a negative sign is apparent for the distance variable.</w:t>
      </w:r>
      <w:r>
        <w:rPr>
          <w:rFonts w:asciiTheme="majorBidi" w:hAnsiTheme="majorBidi"/>
          <w:lang w:bidi="ar-JO"/>
        </w:rPr>
        <w:t xml:space="preserve"> Also, the model appears to be statistically significant based on the test statistics shown at the bottom of the table.</w:t>
      </w:r>
    </w:p>
    <w:p w:rsidR="00592824" w:rsidRDefault="00592824" w:rsidP="00592824">
      <w:pPr>
        <w:pStyle w:val="ListParagraph"/>
        <w:bidi w:val="0"/>
        <w:spacing w:before="240" w:line="360" w:lineRule="auto"/>
        <w:ind w:left="142"/>
        <w:jc w:val="both"/>
        <w:rPr>
          <w:rFonts w:asciiTheme="majorBidi" w:hAnsiTheme="majorBidi"/>
          <w:lang w:bidi="ar-JO"/>
        </w:rPr>
      </w:pPr>
    </w:p>
    <w:p w:rsidR="00592824" w:rsidRDefault="00592824" w:rsidP="00592824">
      <w:pPr>
        <w:pStyle w:val="ListParagraph"/>
        <w:bidi w:val="0"/>
        <w:spacing w:before="240" w:line="360" w:lineRule="auto"/>
        <w:ind w:left="142"/>
        <w:jc w:val="both"/>
        <w:rPr>
          <w:rFonts w:asciiTheme="majorBidi" w:hAnsiTheme="majorBidi"/>
          <w:b/>
          <w:bCs/>
          <w:i/>
          <w:iCs/>
          <w:sz w:val="28"/>
          <w:szCs w:val="28"/>
          <w:lang w:bidi="ar-JO"/>
        </w:rPr>
      </w:pPr>
      <w:r>
        <w:rPr>
          <w:rFonts w:asciiTheme="majorBidi" w:hAnsiTheme="majorBidi"/>
          <w:b/>
          <w:bCs/>
          <w:i/>
          <w:iCs/>
          <w:sz w:val="28"/>
          <w:szCs w:val="28"/>
          <w:lang w:bidi="ar-JO"/>
        </w:rPr>
        <w:t>Summary of Results of the Gravity Model</w:t>
      </w:r>
    </w:p>
    <w:p w:rsidR="00592824" w:rsidRDefault="00592824" w:rsidP="00592824">
      <w:pPr>
        <w:pStyle w:val="ListParagraph"/>
        <w:numPr>
          <w:ilvl w:val="0"/>
          <w:numId w:val="6"/>
        </w:numPr>
        <w:bidi w:val="0"/>
        <w:spacing w:before="240" w:line="360" w:lineRule="auto"/>
        <w:jc w:val="both"/>
        <w:rPr>
          <w:rFonts w:asciiTheme="majorBidi" w:hAnsiTheme="majorBidi"/>
          <w:lang w:bidi="ar-JO"/>
        </w:rPr>
      </w:pPr>
      <w:r>
        <w:rPr>
          <w:rFonts w:asciiTheme="majorBidi" w:hAnsiTheme="majorBidi"/>
          <w:lang w:bidi="ar-JO"/>
        </w:rPr>
        <w:t>The model displayed in its four equations the existence of gravity between the MENA countries resulting mainly from the low distance between these countries. Also, oil-exporting countries have a high demand for services exported by oil-importing countries. This comes as a result of the fact that oil-exporting countries have higher levels of GDP than other countries in the region, resulting in them having greater demand for imports. Therefore, this finding supports the existence of a strong relationship between MENA countries.</w:t>
      </w:r>
    </w:p>
    <w:p w:rsidR="00592824" w:rsidRDefault="00592824" w:rsidP="00592824">
      <w:pPr>
        <w:pStyle w:val="ListParagraph"/>
        <w:numPr>
          <w:ilvl w:val="0"/>
          <w:numId w:val="6"/>
        </w:numPr>
        <w:bidi w:val="0"/>
        <w:spacing w:before="240" w:line="360" w:lineRule="auto"/>
        <w:jc w:val="both"/>
        <w:rPr>
          <w:rFonts w:asciiTheme="majorBidi" w:hAnsiTheme="majorBidi"/>
          <w:lang w:bidi="ar-JO"/>
        </w:rPr>
      </w:pPr>
      <w:r>
        <w:rPr>
          <w:rFonts w:asciiTheme="majorBidi" w:hAnsiTheme="majorBidi"/>
          <w:lang w:bidi="ar-JO"/>
        </w:rPr>
        <w:t xml:space="preserve">The model illustrates that there is a significant relationship between a country’s GDP, population, distance, and openness, and trade performance indicators such </w:t>
      </w:r>
      <w:r>
        <w:rPr>
          <w:rFonts w:asciiTheme="majorBidi" w:hAnsiTheme="majorBidi"/>
          <w:lang w:bidi="ar-JO"/>
        </w:rPr>
        <w:lastRenderedPageBreak/>
        <w:t>as imports, exports, trade balance, and total trade. However, the relationship is stronger in the case of imports, as a result of the fact that given MENA countries are largely importers of goods and services, the higher the GDP and/or population, the higher the level of imports will be and vice versa.</w:t>
      </w:r>
    </w:p>
    <w:p w:rsidR="00592824" w:rsidRPr="008B32EE" w:rsidRDefault="00592824" w:rsidP="00592824">
      <w:pPr>
        <w:pStyle w:val="ListParagraph"/>
        <w:numPr>
          <w:ilvl w:val="0"/>
          <w:numId w:val="6"/>
        </w:numPr>
        <w:bidi w:val="0"/>
        <w:spacing w:before="240" w:line="360" w:lineRule="auto"/>
        <w:jc w:val="both"/>
        <w:rPr>
          <w:rFonts w:asciiTheme="majorBidi" w:hAnsiTheme="majorBidi"/>
          <w:lang w:bidi="ar-JO"/>
        </w:rPr>
      </w:pPr>
      <w:r>
        <w:rPr>
          <w:rFonts w:asciiTheme="majorBidi" w:hAnsiTheme="majorBidi"/>
          <w:lang w:bidi="ar-JO"/>
        </w:rPr>
        <w:t xml:space="preserve">Such results can be utilized in forming an initial framework for competitiveness enhancing policies for services trade in MENA countries, thereby enabling each country to address their competitiveness deficiency more effectively by focusing on the lagging indicators and the main causes of under-trading that characterizes the MENA region. </w:t>
      </w:r>
    </w:p>
    <w:p w:rsidR="00592824" w:rsidRPr="00F12AB1" w:rsidRDefault="00592824" w:rsidP="00592824">
      <w:pPr>
        <w:bidi w:val="0"/>
        <w:rPr>
          <w:rFonts w:asciiTheme="majorBidi" w:hAnsiTheme="majorBidi"/>
          <w:b/>
          <w:bCs/>
          <w:i/>
          <w:iCs/>
          <w:sz w:val="28"/>
          <w:szCs w:val="28"/>
          <w:lang w:bidi="ar-JO"/>
        </w:rPr>
      </w:pPr>
      <w:r>
        <w:rPr>
          <w:rFonts w:asciiTheme="majorBidi" w:hAnsiTheme="majorBidi"/>
          <w:b/>
          <w:bCs/>
          <w:i/>
          <w:iCs/>
          <w:sz w:val="28"/>
          <w:szCs w:val="28"/>
          <w:lang w:bidi="ar-JO"/>
        </w:rPr>
        <w:br w:type="page"/>
      </w:r>
    </w:p>
    <w:p w:rsidR="00592824" w:rsidRDefault="00592824" w:rsidP="00592824">
      <w:pPr>
        <w:pStyle w:val="ListParagraph"/>
        <w:numPr>
          <w:ilvl w:val="0"/>
          <w:numId w:val="1"/>
        </w:numPr>
        <w:bidi w:val="0"/>
        <w:ind w:left="426" w:hanging="426"/>
        <w:outlineLvl w:val="0"/>
        <w:rPr>
          <w:rFonts w:asciiTheme="majorBidi" w:hAnsiTheme="majorBidi"/>
          <w:b/>
          <w:bCs/>
          <w:i/>
          <w:iCs/>
          <w:sz w:val="28"/>
          <w:szCs w:val="28"/>
          <w:lang w:bidi="ar-JO"/>
        </w:rPr>
      </w:pPr>
      <w:bookmarkStart w:id="25" w:name="_Toc316991761"/>
      <w:bookmarkStart w:id="26" w:name="_Toc316992254"/>
      <w:r w:rsidRPr="00196FF7">
        <w:rPr>
          <w:rFonts w:asciiTheme="majorBidi" w:hAnsiTheme="majorBidi"/>
          <w:b/>
          <w:bCs/>
          <w:i/>
          <w:iCs/>
          <w:sz w:val="28"/>
          <w:szCs w:val="28"/>
          <w:lang w:bidi="ar-JO"/>
        </w:rPr>
        <w:lastRenderedPageBreak/>
        <w:t>Concluding Remarks</w:t>
      </w:r>
      <w:bookmarkEnd w:id="25"/>
      <w:bookmarkEnd w:id="26"/>
    </w:p>
    <w:p w:rsidR="00592824" w:rsidRDefault="00592824" w:rsidP="00592824">
      <w:pPr>
        <w:bidi w:val="0"/>
        <w:spacing w:line="360" w:lineRule="auto"/>
        <w:jc w:val="both"/>
        <w:rPr>
          <w:rFonts w:asciiTheme="majorBidi" w:hAnsiTheme="majorBidi"/>
          <w:lang w:bidi="ar-JO"/>
        </w:rPr>
      </w:pPr>
      <w:r w:rsidRPr="007A547D">
        <w:rPr>
          <w:rFonts w:asciiTheme="majorBidi" w:hAnsiTheme="majorBidi"/>
          <w:lang w:bidi="ar-JO"/>
        </w:rPr>
        <w:t>This paper has illustrated that the MENA region is considered</w:t>
      </w:r>
      <w:r>
        <w:rPr>
          <w:rFonts w:asciiTheme="majorBidi" w:hAnsiTheme="majorBidi"/>
          <w:lang w:bidi="ar-JO"/>
        </w:rPr>
        <w:t xml:space="preserve"> to be</w:t>
      </w:r>
      <w:r w:rsidRPr="007A547D">
        <w:rPr>
          <w:rFonts w:asciiTheme="majorBidi" w:hAnsiTheme="majorBidi"/>
          <w:lang w:bidi="ar-JO"/>
        </w:rPr>
        <w:t xml:space="preserve"> one of the most under-trading regions in the global economy, </w:t>
      </w:r>
      <w:r>
        <w:rPr>
          <w:rFonts w:asciiTheme="majorBidi" w:hAnsiTheme="majorBidi"/>
          <w:lang w:bidi="ar-JO"/>
        </w:rPr>
        <w:t>although</w:t>
      </w:r>
      <w:r w:rsidRPr="007A547D">
        <w:rPr>
          <w:rFonts w:asciiTheme="majorBidi" w:hAnsiTheme="majorBidi"/>
          <w:lang w:bidi="ar-JO"/>
        </w:rPr>
        <w:t xml:space="preserve"> there has been some considerable progress in this field. Furthermore, while some MENA countries have gained a competitive advantage over the study period, there was a number of missed opportunities that these countries </w:t>
      </w:r>
      <w:r>
        <w:rPr>
          <w:rFonts w:asciiTheme="majorBidi" w:hAnsiTheme="majorBidi"/>
          <w:lang w:bidi="ar-JO"/>
        </w:rPr>
        <w:t>could have employed</w:t>
      </w:r>
      <w:r w:rsidRPr="007A547D">
        <w:rPr>
          <w:rFonts w:asciiTheme="majorBidi" w:hAnsiTheme="majorBidi"/>
          <w:lang w:bidi="ar-JO"/>
        </w:rPr>
        <w:t xml:space="preserve"> to their advantage, namely in the secto</w:t>
      </w:r>
      <w:r>
        <w:rPr>
          <w:rFonts w:asciiTheme="majorBidi" w:hAnsiTheme="majorBidi"/>
          <w:lang w:bidi="ar-JO"/>
        </w:rPr>
        <w:t>r of "other business services".</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 xml:space="preserve">The results of the competitiveness matrix show a general improvement in the competitiveness of MENA countries in services trade over the period of the study. Also, such a matrix should be utilized by </w:t>
      </w:r>
      <w:proofErr w:type="gramStart"/>
      <w:r>
        <w:rPr>
          <w:rFonts w:asciiTheme="majorBidi" w:hAnsiTheme="majorBidi"/>
          <w:lang w:bidi="ar-JO"/>
        </w:rPr>
        <w:t>policymakers,</w:t>
      </w:r>
      <w:proofErr w:type="gramEnd"/>
      <w:r>
        <w:rPr>
          <w:rFonts w:asciiTheme="majorBidi" w:hAnsiTheme="majorBidi"/>
          <w:lang w:bidi="ar-JO"/>
        </w:rPr>
        <w:t xml:space="preserve"> and trade policymakers in particular, to identify the underperforming sectors and address these deficiencies accordingly. Furthermore, the results of the gravity model should be taken into consideration in drafting trade agreements and deciding on the right policies to adopt, and these policies are not limited only to trade policies, but also as the model shows growth oriented policies do have an effect on trade performance, along with the size of the population and the strategic location of the region and its proximity to key global markets. Every aspect of these policies needs to be carefully studied, and both the matrix and the model serve as strong starting points in drawing these policies.</w:t>
      </w:r>
    </w:p>
    <w:p w:rsidR="00592824" w:rsidRDefault="00592824" w:rsidP="00592824">
      <w:pPr>
        <w:bidi w:val="0"/>
        <w:spacing w:line="360" w:lineRule="auto"/>
        <w:jc w:val="both"/>
        <w:rPr>
          <w:rFonts w:asciiTheme="majorBidi" w:hAnsiTheme="majorBidi"/>
          <w:lang w:bidi="ar-JO"/>
        </w:rPr>
      </w:pPr>
      <w:r>
        <w:rPr>
          <w:rFonts w:asciiTheme="majorBidi" w:hAnsiTheme="majorBidi"/>
          <w:lang w:bidi="ar-JO"/>
        </w:rPr>
        <w:t>Moreover, the results of our estimated equations clearly illustrate that the MENA region's trading patterns and characteristics are not distorted and resemble the same characteristics as any other developing region, thus providing fertile grounds for implementing the necessary policies that promote international competitiveness without the requirement of structural corrections, such as signing trade agreements, increasing trade openness of other sectors, removing tariffs and customs, reforming the regulatory environment and reducing red tape, and channeling credit to support exporting companies and industries. As a result, the MENA region is well placed for further development in international services trade, specifically from a policy making perspective.</w:t>
      </w:r>
    </w:p>
    <w:p w:rsidR="00592824" w:rsidRPr="007A547D" w:rsidRDefault="00592824" w:rsidP="00592824">
      <w:pPr>
        <w:bidi w:val="0"/>
        <w:spacing w:line="360" w:lineRule="auto"/>
        <w:jc w:val="both"/>
        <w:rPr>
          <w:rFonts w:asciiTheme="majorBidi" w:hAnsiTheme="majorBidi"/>
          <w:lang w:bidi="ar-JO"/>
        </w:rPr>
      </w:pPr>
      <w:r w:rsidRPr="007A547D">
        <w:rPr>
          <w:rFonts w:asciiTheme="majorBidi" w:hAnsiTheme="majorBidi"/>
          <w:lang w:bidi="ar-JO"/>
        </w:rPr>
        <w:t xml:space="preserve">Given the proximity of the region to several large and lucrative markets, this paper recommends that policymakers in the MENA countries should consider utilizing the region's advantages in services trade. The benefits that the MENA countries would gain cannot be overstated in this respect, given the large portion of GDP that comes </w:t>
      </w:r>
      <w:r w:rsidRPr="007A547D">
        <w:rPr>
          <w:rFonts w:asciiTheme="majorBidi" w:hAnsiTheme="majorBidi"/>
          <w:lang w:bidi="ar-JO"/>
        </w:rPr>
        <w:lastRenderedPageBreak/>
        <w:t>from the service sector, as well as the sector's contribution to added value and employment. A clear strategy of enhancing the competitiveness of</w:t>
      </w:r>
      <w:r>
        <w:rPr>
          <w:rFonts w:asciiTheme="majorBidi" w:hAnsiTheme="majorBidi"/>
          <w:lang w:bidi="ar-JO"/>
        </w:rPr>
        <w:t xml:space="preserve"> the</w:t>
      </w:r>
      <w:r w:rsidRPr="007A547D">
        <w:rPr>
          <w:rFonts w:asciiTheme="majorBidi" w:hAnsiTheme="majorBidi"/>
          <w:lang w:bidi="ar-JO"/>
        </w:rPr>
        <w:t xml:space="preserve"> MENA countries in the various service sectors is highly advised, and a concrete action plan for the implementation of this strategy is crucial for its success.</w:t>
      </w:r>
    </w:p>
    <w:p w:rsidR="00592824" w:rsidRDefault="00592824" w:rsidP="00592824">
      <w:pPr>
        <w:bidi w:val="0"/>
        <w:spacing w:line="360" w:lineRule="auto"/>
        <w:jc w:val="both"/>
        <w:rPr>
          <w:rFonts w:asciiTheme="majorBidi" w:hAnsiTheme="majorBidi"/>
          <w:i/>
          <w:iCs/>
          <w:lang w:bidi="ar-JO"/>
        </w:rPr>
      </w:pPr>
    </w:p>
    <w:p w:rsidR="00592824" w:rsidRDefault="00592824" w:rsidP="00592824">
      <w:pPr>
        <w:bidi w:val="0"/>
        <w:spacing w:line="360" w:lineRule="auto"/>
        <w:jc w:val="both"/>
        <w:rPr>
          <w:rFonts w:asciiTheme="majorBidi" w:hAnsiTheme="majorBidi"/>
          <w:i/>
          <w:iCs/>
          <w:lang w:bidi="ar-JO"/>
        </w:rPr>
      </w:pPr>
    </w:p>
    <w:p w:rsidR="00592824" w:rsidRDefault="00592824" w:rsidP="00592824">
      <w:pPr>
        <w:bidi w:val="0"/>
        <w:spacing w:line="360" w:lineRule="auto"/>
        <w:jc w:val="both"/>
        <w:rPr>
          <w:rFonts w:asciiTheme="majorBidi" w:hAnsiTheme="majorBidi"/>
          <w:i/>
          <w:iCs/>
          <w:lang w:bidi="ar-JO"/>
        </w:rPr>
      </w:pPr>
    </w:p>
    <w:p w:rsidR="00592824" w:rsidRDefault="00592824" w:rsidP="00592824">
      <w:pPr>
        <w:bidi w:val="0"/>
        <w:spacing w:line="360" w:lineRule="auto"/>
        <w:jc w:val="both"/>
        <w:rPr>
          <w:rFonts w:asciiTheme="majorBidi" w:hAnsiTheme="majorBidi"/>
          <w:i/>
          <w:iCs/>
          <w:lang w:bidi="ar-JO"/>
        </w:rPr>
      </w:pPr>
    </w:p>
    <w:p w:rsidR="00592824" w:rsidRDefault="00592824" w:rsidP="00592824">
      <w:pPr>
        <w:bidi w:val="0"/>
        <w:spacing w:line="360" w:lineRule="auto"/>
        <w:jc w:val="both"/>
        <w:rPr>
          <w:rFonts w:asciiTheme="majorBidi" w:hAnsiTheme="majorBidi"/>
          <w:i/>
          <w:iCs/>
          <w:lang w:bidi="ar-JO"/>
        </w:rPr>
      </w:pPr>
    </w:p>
    <w:p w:rsidR="00592824" w:rsidRDefault="00592824" w:rsidP="00592824">
      <w:pPr>
        <w:bidi w:val="0"/>
        <w:spacing w:line="360" w:lineRule="auto"/>
        <w:jc w:val="both"/>
        <w:rPr>
          <w:rFonts w:asciiTheme="majorBidi" w:hAnsiTheme="majorBidi"/>
          <w:i/>
          <w:iCs/>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jc w:val="center"/>
        <w:rPr>
          <w:rFonts w:asciiTheme="majorBidi" w:hAnsiTheme="majorBidi"/>
          <w:b/>
          <w:bCs/>
          <w:i/>
          <w:iCs/>
          <w:sz w:val="32"/>
          <w:szCs w:val="32"/>
          <w:u w:val="single"/>
          <w:lang w:bidi="ar-JO"/>
        </w:rPr>
      </w:pPr>
    </w:p>
    <w:p w:rsidR="00592824" w:rsidRDefault="00592824" w:rsidP="00592824">
      <w:pPr>
        <w:bidi w:val="0"/>
        <w:rPr>
          <w:rFonts w:asciiTheme="majorBidi" w:hAnsiTheme="majorBidi"/>
          <w:b/>
          <w:bCs/>
          <w:i/>
          <w:iCs/>
          <w:sz w:val="32"/>
          <w:szCs w:val="32"/>
          <w:u w:val="single"/>
          <w:lang w:bidi="ar-JO"/>
        </w:rPr>
      </w:pPr>
      <w:r w:rsidRPr="00376425">
        <w:rPr>
          <w:rFonts w:asciiTheme="majorBidi" w:hAnsiTheme="majorBidi"/>
          <w:b/>
          <w:bCs/>
          <w:i/>
          <w:iCs/>
          <w:sz w:val="32"/>
          <w:szCs w:val="32"/>
          <w:u w:val="single"/>
          <w:lang w:bidi="ar-JO"/>
        </w:rPr>
        <w:t>Appendi</w:t>
      </w:r>
      <w:r>
        <w:rPr>
          <w:rFonts w:asciiTheme="majorBidi" w:hAnsiTheme="majorBidi"/>
          <w:b/>
          <w:bCs/>
          <w:i/>
          <w:iCs/>
          <w:sz w:val="32"/>
          <w:szCs w:val="32"/>
          <w:u w:val="single"/>
          <w:lang w:bidi="ar-JO"/>
        </w:rPr>
        <w:t>x: Tables for Regression Results</w:t>
      </w:r>
    </w:p>
    <w:p w:rsidR="00592824" w:rsidRPr="00376425" w:rsidRDefault="00592824" w:rsidP="00592824">
      <w:pPr>
        <w:bidi w:val="0"/>
        <w:rPr>
          <w:rFonts w:asciiTheme="majorBidi" w:hAnsiTheme="majorBidi"/>
          <w:lang w:bidi="ar-JO"/>
        </w:rPr>
      </w:pPr>
    </w:p>
    <w:p w:rsidR="00592824" w:rsidRDefault="00592824" w:rsidP="00592824">
      <w:pPr>
        <w:pStyle w:val="ListParagraph"/>
        <w:numPr>
          <w:ilvl w:val="2"/>
          <w:numId w:val="1"/>
        </w:numPr>
        <w:bidi w:val="0"/>
        <w:ind w:left="142"/>
        <w:rPr>
          <w:rFonts w:asciiTheme="majorBidi" w:hAnsiTheme="majorBidi"/>
          <w:b/>
          <w:bCs/>
          <w:i/>
          <w:iCs/>
          <w:sz w:val="28"/>
          <w:szCs w:val="28"/>
          <w:lang w:bidi="ar-JO"/>
        </w:rPr>
      </w:pPr>
      <w:r>
        <w:rPr>
          <w:rFonts w:asciiTheme="majorBidi" w:hAnsiTheme="majorBidi"/>
          <w:b/>
          <w:bCs/>
          <w:i/>
          <w:iCs/>
          <w:lang w:bidi="ar-JO"/>
        </w:rPr>
        <w:t>Import Equation Results</w:t>
      </w:r>
      <w:r>
        <w:rPr>
          <w:rFonts w:asciiTheme="majorBidi" w:hAnsiTheme="majorBidi"/>
          <w:b/>
          <w:bCs/>
          <w:i/>
          <w:iCs/>
          <w:sz w:val="28"/>
          <w:szCs w:val="28"/>
          <w:lang w:bidi="ar-JO"/>
        </w:rPr>
        <w:t>.</w:t>
      </w:r>
    </w:p>
    <w:p w:rsidR="00592824" w:rsidRDefault="00592824" w:rsidP="00592824">
      <w:pPr>
        <w:pStyle w:val="ListParagraph"/>
        <w:bidi w:val="0"/>
        <w:ind w:left="142"/>
        <w:jc w:val="center"/>
        <w:rPr>
          <w:rFonts w:asciiTheme="majorBidi" w:hAnsiTheme="majorBidi"/>
          <w:b/>
          <w:bCs/>
          <w:i/>
          <w:iCs/>
          <w:sz w:val="28"/>
          <w:szCs w:val="28"/>
          <w:lang w:bidi="ar-JO"/>
        </w:rPr>
      </w:pPr>
      <w:r w:rsidRPr="00CF44D2">
        <w:rPr>
          <w:rFonts w:asciiTheme="majorBidi" w:hAnsiTheme="majorBidi" w:hint="cs"/>
          <w:b/>
          <w:bCs/>
          <w:i/>
          <w:iCs/>
          <w:noProof/>
          <w:sz w:val="28"/>
          <w:szCs w:val="28"/>
          <w:lang w:val="en-GB" w:eastAsia="en-GB"/>
        </w:rPr>
        <w:drawing>
          <wp:inline distT="0" distB="0" distL="0" distR="0">
            <wp:extent cx="4067175" cy="4381500"/>
            <wp:effectExtent l="1905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067175" cy="4381500"/>
                    </a:xfrm>
                    <a:prstGeom prst="rect">
                      <a:avLst/>
                    </a:prstGeom>
                    <a:noFill/>
                    <a:ln w="9525">
                      <a:noFill/>
                      <a:miter lim="800000"/>
                      <a:headEnd/>
                      <a:tailEnd/>
                    </a:ln>
                  </pic:spPr>
                </pic:pic>
              </a:graphicData>
            </a:graphic>
          </wp:inline>
        </w:drawing>
      </w: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bidi w:val="0"/>
        <w:ind w:left="142"/>
        <w:jc w:val="center"/>
        <w:rPr>
          <w:rFonts w:asciiTheme="majorBidi" w:hAnsiTheme="majorBidi"/>
          <w:b/>
          <w:bCs/>
          <w:i/>
          <w:iCs/>
          <w:sz w:val="28"/>
          <w:szCs w:val="28"/>
          <w:lang w:bidi="ar-JO"/>
        </w:rPr>
      </w:pPr>
    </w:p>
    <w:p w:rsidR="00592824" w:rsidRDefault="00592824" w:rsidP="00592824">
      <w:pPr>
        <w:pStyle w:val="ListParagraph"/>
        <w:numPr>
          <w:ilvl w:val="2"/>
          <w:numId w:val="1"/>
        </w:numPr>
        <w:bidi w:val="0"/>
        <w:ind w:left="142"/>
        <w:rPr>
          <w:rFonts w:asciiTheme="majorBidi" w:hAnsiTheme="majorBidi"/>
          <w:b/>
          <w:bCs/>
          <w:i/>
          <w:iCs/>
          <w:sz w:val="28"/>
          <w:szCs w:val="28"/>
          <w:lang w:bidi="ar-JO"/>
        </w:rPr>
      </w:pPr>
      <w:r>
        <w:rPr>
          <w:rFonts w:asciiTheme="majorBidi" w:hAnsiTheme="majorBidi"/>
          <w:b/>
          <w:bCs/>
          <w:i/>
          <w:iCs/>
          <w:lang w:bidi="ar-JO"/>
        </w:rPr>
        <w:t>Export Equation Results</w:t>
      </w:r>
      <w:r w:rsidRPr="00952C1E">
        <w:rPr>
          <w:rFonts w:asciiTheme="majorBidi" w:hAnsiTheme="majorBidi"/>
          <w:b/>
          <w:bCs/>
          <w:i/>
          <w:iCs/>
          <w:sz w:val="28"/>
          <w:szCs w:val="28"/>
          <w:lang w:bidi="ar-JO"/>
        </w:rPr>
        <w:t>.</w:t>
      </w:r>
    </w:p>
    <w:p w:rsidR="00592824" w:rsidRDefault="00592824" w:rsidP="00592824">
      <w:pPr>
        <w:pStyle w:val="ListParagraph"/>
        <w:bidi w:val="0"/>
        <w:ind w:left="0"/>
        <w:jc w:val="center"/>
        <w:rPr>
          <w:rFonts w:asciiTheme="majorBidi" w:hAnsiTheme="majorBidi"/>
          <w:b/>
          <w:bCs/>
          <w:i/>
          <w:iCs/>
          <w:sz w:val="28"/>
          <w:szCs w:val="28"/>
          <w:lang w:bidi="ar-JO"/>
        </w:rPr>
      </w:pPr>
      <w:r w:rsidRPr="00D42836">
        <w:rPr>
          <w:rFonts w:asciiTheme="majorBidi" w:hAnsiTheme="majorBidi" w:hint="cs"/>
          <w:b/>
          <w:bCs/>
          <w:i/>
          <w:iCs/>
          <w:noProof/>
          <w:sz w:val="28"/>
          <w:szCs w:val="28"/>
          <w:lang w:val="en-GB" w:eastAsia="en-GB"/>
        </w:rPr>
        <w:drawing>
          <wp:inline distT="0" distB="0" distL="0" distR="0">
            <wp:extent cx="4124325" cy="4267200"/>
            <wp:effectExtent l="19050" t="0" r="9525"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4124325" cy="4267200"/>
                    </a:xfrm>
                    <a:prstGeom prst="rect">
                      <a:avLst/>
                    </a:prstGeom>
                    <a:noFill/>
                    <a:ln w="9525">
                      <a:noFill/>
                      <a:miter lim="800000"/>
                      <a:headEnd/>
                      <a:tailEnd/>
                    </a:ln>
                  </pic:spPr>
                </pic:pic>
              </a:graphicData>
            </a:graphic>
          </wp:inline>
        </w:drawing>
      </w: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bidi w:val="0"/>
        <w:ind w:left="0"/>
        <w:jc w:val="center"/>
        <w:rPr>
          <w:rFonts w:asciiTheme="majorBidi" w:hAnsiTheme="majorBidi"/>
          <w:b/>
          <w:bCs/>
          <w:i/>
          <w:iCs/>
          <w:sz w:val="28"/>
          <w:szCs w:val="28"/>
          <w:lang w:bidi="ar-JO"/>
        </w:rPr>
      </w:pPr>
    </w:p>
    <w:p w:rsidR="00592824" w:rsidRDefault="00592824" w:rsidP="00592824">
      <w:pPr>
        <w:pStyle w:val="ListParagraph"/>
        <w:numPr>
          <w:ilvl w:val="2"/>
          <w:numId w:val="1"/>
        </w:numPr>
        <w:bidi w:val="0"/>
        <w:ind w:left="142"/>
        <w:rPr>
          <w:rFonts w:asciiTheme="majorBidi" w:hAnsiTheme="majorBidi"/>
          <w:b/>
          <w:bCs/>
          <w:i/>
          <w:iCs/>
          <w:sz w:val="28"/>
          <w:szCs w:val="28"/>
          <w:lang w:bidi="ar-JO"/>
        </w:rPr>
      </w:pPr>
      <w:r>
        <w:rPr>
          <w:rFonts w:asciiTheme="majorBidi" w:hAnsiTheme="majorBidi"/>
          <w:b/>
          <w:bCs/>
          <w:i/>
          <w:iCs/>
          <w:lang w:bidi="ar-JO"/>
        </w:rPr>
        <w:t>Trade Balance Equation Results</w:t>
      </w:r>
      <w:r>
        <w:rPr>
          <w:rFonts w:asciiTheme="majorBidi" w:hAnsiTheme="majorBidi"/>
          <w:b/>
          <w:bCs/>
          <w:i/>
          <w:iCs/>
          <w:sz w:val="28"/>
          <w:szCs w:val="28"/>
          <w:lang w:bidi="ar-JO"/>
        </w:rPr>
        <w:t>.</w:t>
      </w:r>
    </w:p>
    <w:p w:rsidR="00592824" w:rsidRDefault="00592824" w:rsidP="00592824">
      <w:pPr>
        <w:pStyle w:val="ListParagraph"/>
        <w:bidi w:val="0"/>
        <w:ind w:left="0"/>
        <w:jc w:val="center"/>
        <w:rPr>
          <w:rFonts w:asciiTheme="majorBidi" w:hAnsiTheme="majorBidi"/>
          <w:b/>
          <w:bCs/>
          <w:i/>
          <w:iCs/>
          <w:noProof/>
        </w:rPr>
      </w:pPr>
      <w:r w:rsidRPr="00570475">
        <w:rPr>
          <w:rFonts w:asciiTheme="majorBidi" w:hAnsiTheme="majorBidi" w:hint="cs"/>
          <w:b/>
          <w:bCs/>
          <w:i/>
          <w:iCs/>
          <w:noProof/>
          <w:lang w:val="en-GB" w:eastAsia="en-GB"/>
        </w:rPr>
        <w:drawing>
          <wp:inline distT="0" distB="0" distL="0" distR="0">
            <wp:extent cx="4171950" cy="4772025"/>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4171950" cy="4772025"/>
                    </a:xfrm>
                    <a:prstGeom prst="rect">
                      <a:avLst/>
                    </a:prstGeom>
                    <a:noFill/>
                    <a:ln w="9525">
                      <a:noFill/>
                      <a:miter lim="800000"/>
                      <a:headEnd/>
                      <a:tailEnd/>
                    </a:ln>
                  </pic:spPr>
                </pic:pic>
              </a:graphicData>
            </a:graphic>
          </wp:inline>
        </w:drawing>
      </w: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bidi w:val="0"/>
        <w:ind w:left="0"/>
        <w:jc w:val="center"/>
        <w:rPr>
          <w:rFonts w:asciiTheme="majorBidi" w:hAnsiTheme="majorBidi"/>
          <w:b/>
          <w:bCs/>
          <w:i/>
          <w:iCs/>
          <w:noProof/>
        </w:rPr>
      </w:pPr>
    </w:p>
    <w:p w:rsidR="00592824" w:rsidRDefault="00592824" w:rsidP="00592824">
      <w:pPr>
        <w:pStyle w:val="ListParagraph"/>
        <w:numPr>
          <w:ilvl w:val="2"/>
          <w:numId w:val="1"/>
        </w:numPr>
        <w:bidi w:val="0"/>
        <w:ind w:left="142"/>
        <w:rPr>
          <w:rFonts w:asciiTheme="majorBidi" w:hAnsiTheme="majorBidi"/>
          <w:b/>
          <w:bCs/>
          <w:iCs/>
          <w:sz w:val="28"/>
          <w:szCs w:val="28"/>
          <w:lang w:bidi="ar-JO"/>
        </w:rPr>
      </w:pPr>
      <w:r>
        <w:rPr>
          <w:rFonts w:asciiTheme="majorBidi" w:hAnsiTheme="majorBidi"/>
          <w:b/>
          <w:bCs/>
          <w:i/>
          <w:iCs/>
          <w:lang w:bidi="ar-JO"/>
        </w:rPr>
        <w:t>Total Trade in Services Equation Results</w:t>
      </w:r>
    </w:p>
    <w:p w:rsidR="00592824" w:rsidRPr="00BC1F31" w:rsidRDefault="00592824" w:rsidP="00592824">
      <w:pPr>
        <w:pStyle w:val="ListParagraph"/>
        <w:bidi w:val="0"/>
        <w:ind w:left="0"/>
        <w:jc w:val="center"/>
        <w:rPr>
          <w:rFonts w:asciiTheme="majorBidi" w:hAnsiTheme="majorBidi"/>
          <w:b/>
          <w:bCs/>
          <w:i/>
          <w:iCs/>
          <w:sz w:val="28"/>
          <w:szCs w:val="28"/>
          <w:lang w:bidi="ar-JO"/>
        </w:rPr>
      </w:pPr>
      <w:r w:rsidRPr="00F63CDA">
        <w:rPr>
          <w:rFonts w:asciiTheme="majorBidi" w:hAnsiTheme="majorBidi" w:hint="cs"/>
          <w:b/>
          <w:bCs/>
          <w:i/>
          <w:iCs/>
          <w:noProof/>
          <w:sz w:val="28"/>
          <w:szCs w:val="28"/>
          <w:lang w:val="en-GB" w:eastAsia="en-GB"/>
        </w:rPr>
        <w:drawing>
          <wp:inline distT="0" distB="0" distL="0" distR="0">
            <wp:extent cx="4152900" cy="426720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152900" cy="4267200"/>
                    </a:xfrm>
                    <a:prstGeom prst="rect">
                      <a:avLst/>
                    </a:prstGeom>
                    <a:noFill/>
                    <a:ln w="9525">
                      <a:noFill/>
                      <a:miter lim="800000"/>
                      <a:headEnd/>
                      <a:tailEnd/>
                    </a:ln>
                  </pic:spPr>
                </pic:pic>
              </a:graphicData>
            </a:graphic>
          </wp:inline>
        </w:drawing>
      </w:r>
      <w:r w:rsidRPr="00376425">
        <w:rPr>
          <w:rFonts w:asciiTheme="majorBidi" w:hAnsiTheme="majorBidi"/>
          <w:b/>
          <w:bCs/>
          <w:i/>
          <w:iCs/>
          <w:u w:val="single"/>
          <w:lang w:bidi="ar-JO"/>
        </w:rPr>
        <w:br w:type="page"/>
      </w:r>
    </w:p>
    <w:p w:rsidR="00592824" w:rsidRDefault="00592824" w:rsidP="00592824">
      <w:pPr>
        <w:bidi w:val="0"/>
        <w:spacing w:line="240" w:lineRule="auto"/>
        <w:jc w:val="both"/>
        <w:rPr>
          <w:rFonts w:asciiTheme="majorBidi" w:hAnsiTheme="majorBidi"/>
          <w:b/>
          <w:bCs/>
          <w:i/>
          <w:iCs/>
          <w:sz w:val="28"/>
          <w:szCs w:val="28"/>
          <w:lang w:bidi="ar-JO"/>
        </w:rPr>
      </w:pPr>
      <w:r>
        <w:rPr>
          <w:rFonts w:asciiTheme="majorBidi" w:hAnsiTheme="majorBidi"/>
          <w:b/>
          <w:bCs/>
          <w:i/>
          <w:iCs/>
          <w:sz w:val="28"/>
          <w:szCs w:val="28"/>
          <w:lang w:bidi="ar-JO"/>
        </w:rPr>
        <w:lastRenderedPageBreak/>
        <w:t>References</w:t>
      </w:r>
    </w:p>
    <w:p w:rsidR="00592824" w:rsidRPr="00BC1F31" w:rsidRDefault="00592824" w:rsidP="00592824">
      <w:pPr>
        <w:bidi w:val="0"/>
        <w:spacing w:line="240" w:lineRule="auto"/>
        <w:jc w:val="both"/>
        <w:rPr>
          <w:rFonts w:asciiTheme="majorBidi" w:hAnsiTheme="majorBidi"/>
          <w:iCs/>
          <w:lang w:bidi="ar-JO"/>
        </w:rPr>
      </w:pPr>
      <w:r w:rsidRPr="00BC1F31">
        <w:rPr>
          <w:rFonts w:asciiTheme="majorBidi" w:hAnsiTheme="majorBidi"/>
          <w:iCs/>
          <w:lang w:bidi="ar-JO"/>
        </w:rPr>
        <w:t>Al–</w:t>
      </w:r>
      <w:proofErr w:type="spellStart"/>
      <w:r w:rsidRPr="00BC1F31">
        <w:rPr>
          <w:rFonts w:asciiTheme="majorBidi" w:hAnsiTheme="majorBidi"/>
          <w:iCs/>
          <w:lang w:bidi="ar-JO"/>
        </w:rPr>
        <w:t>Atrash</w:t>
      </w:r>
      <w:proofErr w:type="spellEnd"/>
      <w:r w:rsidRPr="00BC1F31">
        <w:rPr>
          <w:rFonts w:asciiTheme="majorBidi" w:hAnsiTheme="majorBidi"/>
          <w:iCs/>
          <w:lang w:bidi="ar-JO"/>
        </w:rPr>
        <w:t xml:space="preserve"> &amp; </w:t>
      </w:r>
      <w:proofErr w:type="spellStart"/>
      <w:r w:rsidRPr="00BC1F31">
        <w:rPr>
          <w:rFonts w:asciiTheme="majorBidi" w:hAnsiTheme="majorBidi"/>
          <w:iCs/>
          <w:lang w:bidi="ar-JO"/>
        </w:rPr>
        <w:t>Yousef</w:t>
      </w:r>
      <w:proofErr w:type="spellEnd"/>
      <w:r w:rsidRPr="00BC1F31">
        <w:rPr>
          <w:rFonts w:asciiTheme="majorBidi" w:hAnsiTheme="majorBidi"/>
          <w:iCs/>
          <w:lang w:bidi="ar-JO"/>
        </w:rPr>
        <w:t xml:space="preserve"> (2000), “Intra-Arab Trade: Is it </w:t>
      </w:r>
      <w:proofErr w:type="gramStart"/>
      <w:r w:rsidRPr="00BC1F31">
        <w:rPr>
          <w:rFonts w:asciiTheme="majorBidi" w:hAnsiTheme="majorBidi"/>
          <w:iCs/>
          <w:lang w:bidi="ar-JO"/>
        </w:rPr>
        <w:t>Too</w:t>
      </w:r>
      <w:proofErr w:type="gramEnd"/>
      <w:r w:rsidRPr="00BC1F31">
        <w:rPr>
          <w:rFonts w:asciiTheme="majorBidi" w:hAnsiTheme="majorBidi"/>
          <w:iCs/>
          <w:lang w:bidi="ar-JO"/>
        </w:rPr>
        <w:t xml:space="preserve"> Little?” </w:t>
      </w:r>
      <w:proofErr w:type="gramStart"/>
      <w:r w:rsidRPr="00BC1F31">
        <w:rPr>
          <w:rFonts w:asciiTheme="majorBidi" w:hAnsiTheme="majorBidi"/>
          <w:iCs/>
          <w:lang w:bidi="ar-JO"/>
        </w:rPr>
        <w:t>IMF Working Paper.</w:t>
      </w:r>
      <w:proofErr w:type="gramEnd"/>
    </w:p>
    <w:p w:rsidR="00592824" w:rsidRPr="00BC1F31" w:rsidRDefault="00592824" w:rsidP="00592824">
      <w:pPr>
        <w:bidi w:val="0"/>
        <w:spacing w:line="240" w:lineRule="auto"/>
        <w:jc w:val="both"/>
        <w:rPr>
          <w:rFonts w:asciiTheme="majorBidi" w:hAnsiTheme="majorBidi"/>
          <w:iCs/>
          <w:lang w:bidi="ar-JO"/>
        </w:rPr>
      </w:pPr>
      <w:proofErr w:type="gramStart"/>
      <w:r w:rsidRPr="00BC1F31">
        <w:rPr>
          <w:rFonts w:asciiTheme="majorBidi" w:hAnsiTheme="majorBidi"/>
          <w:iCs/>
          <w:lang w:bidi="ar-JO"/>
        </w:rPr>
        <w:t>Behar &amp; Freund (2011), "The Trade Performance of the Middle East and North Africa", World Bank Working Paper Series No.53-Middle East and North Africa.</w:t>
      </w:r>
      <w:proofErr w:type="gramEnd"/>
    </w:p>
    <w:p w:rsidR="00592824" w:rsidRPr="00BC1F31" w:rsidRDefault="00592824" w:rsidP="00592824">
      <w:pPr>
        <w:bidi w:val="0"/>
        <w:spacing w:line="240" w:lineRule="auto"/>
        <w:jc w:val="both"/>
        <w:rPr>
          <w:rFonts w:asciiTheme="majorBidi" w:hAnsiTheme="majorBidi"/>
          <w:iCs/>
          <w:lang w:bidi="ar-JO"/>
        </w:rPr>
      </w:pPr>
      <w:proofErr w:type="spellStart"/>
      <w:proofErr w:type="gramStart"/>
      <w:r w:rsidRPr="00BC1F31">
        <w:rPr>
          <w:rFonts w:asciiTheme="majorBidi" w:hAnsiTheme="majorBidi"/>
          <w:iCs/>
          <w:lang w:bidi="ar-JO"/>
        </w:rPr>
        <w:t>Bhagwati</w:t>
      </w:r>
      <w:proofErr w:type="spellEnd"/>
      <w:r w:rsidRPr="00BC1F31">
        <w:rPr>
          <w:rFonts w:asciiTheme="majorBidi" w:hAnsiTheme="majorBidi"/>
          <w:iCs/>
          <w:lang w:bidi="ar-JO"/>
        </w:rPr>
        <w:t>, J. N. (1984), “Splintering and disembodiment of services and developing nations”, The World Economy, Vol. 7, pp. 133-143.</w:t>
      </w:r>
      <w:proofErr w:type="gramEnd"/>
    </w:p>
    <w:p w:rsidR="00592824" w:rsidRPr="00BC1F31" w:rsidRDefault="00592824" w:rsidP="00592824">
      <w:pPr>
        <w:bidi w:val="0"/>
        <w:spacing w:line="240" w:lineRule="auto"/>
        <w:jc w:val="both"/>
        <w:rPr>
          <w:rFonts w:asciiTheme="majorBidi" w:hAnsiTheme="majorBidi"/>
          <w:iCs/>
          <w:lang w:bidi="ar-JO"/>
        </w:rPr>
      </w:pPr>
      <w:proofErr w:type="gramStart"/>
      <w:r w:rsidRPr="00BC1F31">
        <w:rPr>
          <w:rFonts w:asciiTheme="majorBidi" w:hAnsiTheme="majorBidi"/>
          <w:iCs/>
          <w:lang w:bidi="ar-JO"/>
        </w:rPr>
        <w:t xml:space="preserve">Bhattacharya &amp; </w:t>
      </w:r>
      <w:proofErr w:type="spellStart"/>
      <w:r w:rsidRPr="00BC1F31">
        <w:rPr>
          <w:rFonts w:asciiTheme="majorBidi" w:hAnsiTheme="majorBidi"/>
          <w:iCs/>
          <w:lang w:bidi="ar-JO"/>
        </w:rPr>
        <w:t>Wolde</w:t>
      </w:r>
      <w:proofErr w:type="spellEnd"/>
      <w:r w:rsidRPr="00BC1F31">
        <w:rPr>
          <w:rFonts w:asciiTheme="majorBidi" w:hAnsiTheme="majorBidi"/>
          <w:iCs/>
          <w:lang w:bidi="ar-JO"/>
        </w:rPr>
        <w:t xml:space="preserve"> (2010), “Constraints on Trade in the MENA Region”, IMF Working Paper.</w:t>
      </w:r>
      <w:proofErr w:type="gramEnd"/>
    </w:p>
    <w:p w:rsidR="00592824" w:rsidRPr="0092253B" w:rsidRDefault="00592824" w:rsidP="00592824">
      <w:pPr>
        <w:bidi w:val="0"/>
        <w:spacing w:line="240" w:lineRule="auto"/>
        <w:jc w:val="both"/>
        <w:rPr>
          <w:rFonts w:asciiTheme="majorBidi" w:hAnsiTheme="majorBidi"/>
          <w:iCs/>
          <w:lang w:bidi="ar-JO"/>
        </w:rPr>
      </w:pPr>
      <w:proofErr w:type="spellStart"/>
      <w:r w:rsidRPr="0092253B">
        <w:rPr>
          <w:rFonts w:asciiTheme="majorBidi" w:hAnsiTheme="majorBidi"/>
          <w:iCs/>
          <w:lang w:bidi="ar-JO"/>
        </w:rPr>
        <w:t>Brulhart</w:t>
      </w:r>
      <w:proofErr w:type="spellEnd"/>
      <w:r w:rsidRPr="0092253B">
        <w:rPr>
          <w:rFonts w:asciiTheme="majorBidi" w:hAnsiTheme="majorBidi"/>
          <w:iCs/>
          <w:lang w:bidi="ar-JO"/>
        </w:rPr>
        <w:t xml:space="preserve"> (2009), “An Account of Global Intra-industry trade: 1962-2006”, The World Economy.</w:t>
      </w:r>
    </w:p>
    <w:p w:rsidR="00592824" w:rsidRPr="0092253B" w:rsidRDefault="00592824" w:rsidP="00592824">
      <w:pPr>
        <w:bidi w:val="0"/>
        <w:spacing w:line="240" w:lineRule="auto"/>
        <w:jc w:val="both"/>
        <w:rPr>
          <w:rFonts w:asciiTheme="majorBidi" w:hAnsiTheme="majorBidi"/>
          <w:iCs/>
          <w:lang w:bidi="ar-JO"/>
        </w:rPr>
      </w:pPr>
      <w:r w:rsidRPr="0092253B">
        <w:rPr>
          <w:rFonts w:asciiTheme="majorBidi" w:hAnsiTheme="majorBidi"/>
          <w:iCs/>
          <w:lang w:bidi="ar-JO"/>
        </w:rPr>
        <w:t xml:space="preserve">Chang, P., G. </w:t>
      </w:r>
      <w:proofErr w:type="spellStart"/>
      <w:r w:rsidRPr="0092253B">
        <w:rPr>
          <w:rFonts w:asciiTheme="majorBidi" w:hAnsiTheme="majorBidi"/>
          <w:iCs/>
          <w:lang w:bidi="ar-JO"/>
        </w:rPr>
        <w:t>Karsenty</w:t>
      </w:r>
      <w:proofErr w:type="spellEnd"/>
      <w:r w:rsidRPr="0092253B">
        <w:rPr>
          <w:rFonts w:asciiTheme="majorBidi" w:hAnsiTheme="majorBidi"/>
          <w:iCs/>
          <w:lang w:bidi="ar-JO"/>
        </w:rPr>
        <w:t xml:space="preserve">, A. </w:t>
      </w:r>
      <w:proofErr w:type="spellStart"/>
      <w:r w:rsidRPr="0092253B">
        <w:rPr>
          <w:rFonts w:asciiTheme="majorBidi" w:hAnsiTheme="majorBidi"/>
          <w:iCs/>
          <w:lang w:bidi="ar-JO"/>
        </w:rPr>
        <w:t>Mattoo</w:t>
      </w:r>
      <w:proofErr w:type="spellEnd"/>
      <w:r w:rsidRPr="0092253B">
        <w:rPr>
          <w:rFonts w:asciiTheme="majorBidi" w:hAnsiTheme="majorBidi"/>
          <w:iCs/>
          <w:lang w:bidi="ar-JO"/>
        </w:rPr>
        <w:t xml:space="preserve"> and J. </w:t>
      </w:r>
      <w:proofErr w:type="spellStart"/>
      <w:r w:rsidRPr="0092253B">
        <w:rPr>
          <w:rFonts w:asciiTheme="majorBidi" w:hAnsiTheme="majorBidi"/>
          <w:iCs/>
          <w:lang w:bidi="ar-JO"/>
        </w:rPr>
        <w:t>Richterung</w:t>
      </w:r>
      <w:proofErr w:type="spellEnd"/>
      <w:r w:rsidRPr="0092253B">
        <w:rPr>
          <w:rFonts w:asciiTheme="majorBidi" w:hAnsiTheme="majorBidi"/>
          <w:iCs/>
          <w:lang w:bidi="ar-JO"/>
        </w:rPr>
        <w:t xml:space="preserve"> (1999), “GATS, the modes of supply and statistics on trade in services”, Journal of World Trade, Vol. 33, pp. 93-115.</w:t>
      </w:r>
    </w:p>
    <w:p w:rsidR="00592824" w:rsidRPr="00407DEC" w:rsidRDefault="00592824" w:rsidP="00592824">
      <w:pPr>
        <w:bidi w:val="0"/>
        <w:spacing w:line="240" w:lineRule="auto"/>
        <w:jc w:val="both"/>
        <w:rPr>
          <w:rFonts w:asciiTheme="majorBidi" w:hAnsiTheme="majorBidi"/>
          <w:iCs/>
          <w:lang w:bidi="ar-JO"/>
        </w:rPr>
      </w:pPr>
      <w:proofErr w:type="spellStart"/>
      <w:r w:rsidRPr="00407DEC">
        <w:rPr>
          <w:rFonts w:asciiTheme="majorBidi" w:hAnsiTheme="majorBidi"/>
          <w:iCs/>
          <w:lang w:bidi="ar-JO"/>
        </w:rPr>
        <w:t>Cieslik</w:t>
      </w:r>
      <w:proofErr w:type="spellEnd"/>
      <w:r w:rsidRPr="00407DEC">
        <w:rPr>
          <w:rFonts w:asciiTheme="majorBidi" w:hAnsiTheme="majorBidi"/>
          <w:iCs/>
          <w:lang w:bidi="ar-JO"/>
        </w:rPr>
        <w:t xml:space="preserve"> &amp; </w:t>
      </w:r>
      <w:proofErr w:type="spellStart"/>
      <w:r w:rsidRPr="00407DEC">
        <w:rPr>
          <w:rFonts w:asciiTheme="majorBidi" w:hAnsiTheme="majorBidi"/>
          <w:iCs/>
          <w:lang w:bidi="ar-JO"/>
        </w:rPr>
        <w:t>Hagemejer</w:t>
      </w:r>
      <w:proofErr w:type="spellEnd"/>
      <w:r w:rsidRPr="00407DEC">
        <w:rPr>
          <w:rFonts w:asciiTheme="majorBidi" w:hAnsiTheme="majorBidi"/>
          <w:iCs/>
          <w:lang w:bidi="ar-JO"/>
        </w:rPr>
        <w:t xml:space="preserve"> (2009), “Assessing the Impact of the EU-sponsored Trade Liberalization in the MENA Countries”, Journal of Economic Integration.</w:t>
      </w:r>
    </w:p>
    <w:p w:rsidR="00592824" w:rsidRPr="00407DEC" w:rsidRDefault="00592824" w:rsidP="00592824">
      <w:pPr>
        <w:bidi w:val="0"/>
        <w:spacing w:line="240" w:lineRule="auto"/>
        <w:jc w:val="both"/>
        <w:rPr>
          <w:rFonts w:asciiTheme="majorBidi" w:hAnsiTheme="majorBidi"/>
          <w:iCs/>
          <w:lang w:bidi="ar-JO"/>
        </w:rPr>
      </w:pPr>
      <w:proofErr w:type="spellStart"/>
      <w:proofErr w:type="gramStart"/>
      <w:r w:rsidRPr="00407DEC">
        <w:rPr>
          <w:rFonts w:asciiTheme="majorBidi" w:hAnsiTheme="majorBidi"/>
          <w:iCs/>
          <w:lang w:bidi="ar-JO"/>
        </w:rPr>
        <w:t>Deardorff</w:t>
      </w:r>
      <w:proofErr w:type="spellEnd"/>
      <w:r w:rsidRPr="00407DEC">
        <w:rPr>
          <w:rFonts w:asciiTheme="majorBidi" w:hAnsiTheme="majorBidi"/>
          <w:iCs/>
          <w:lang w:bidi="ar-JO"/>
        </w:rPr>
        <w:t>, (2001), “International provision of trade services, trade and fragmentation, Journal of International Economics, vol. 9, pp. 233-248.</w:t>
      </w:r>
      <w:proofErr w:type="gramEnd"/>
    </w:p>
    <w:p w:rsidR="00592824" w:rsidRPr="0092253B" w:rsidRDefault="00592824" w:rsidP="00592824">
      <w:pPr>
        <w:bidi w:val="0"/>
        <w:spacing w:line="240" w:lineRule="auto"/>
        <w:jc w:val="both"/>
        <w:rPr>
          <w:rFonts w:asciiTheme="majorBidi" w:hAnsiTheme="majorBidi"/>
          <w:iCs/>
          <w:lang w:bidi="ar-JO"/>
        </w:rPr>
      </w:pPr>
      <w:proofErr w:type="gramStart"/>
      <w:r w:rsidRPr="0092253B">
        <w:rPr>
          <w:rFonts w:asciiTheme="majorBidi" w:hAnsiTheme="majorBidi"/>
          <w:iCs/>
          <w:lang w:bidi="ar-JO"/>
        </w:rPr>
        <w:t>Francois, J.F. (1990a), Producer services, scale, and the division of labor, Oxford Economic Papers, vol. 42, pp. 715-729.</w:t>
      </w:r>
      <w:proofErr w:type="gramEnd"/>
    </w:p>
    <w:p w:rsidR="00592824" w:rsidRPr="0092253B" w:rsidRDefault="00592824" w:rsidP="00592824">
      <w:pPr>
        <w:bidi w:val="0"/>
        <w:spacing w:line="240" w:lineRule="auto"/>
        <w:jc w:val="both"/>
        <w:rPr>
          <w:rFonts w:asciiTheme="majorBidi" w:hAnsiTheme="majorBidi"/>
          <w:iCs/>
          <w:lang w:bidi="ar-JO"/>
        </w:rPr>
      </w:pPr>
      <w:r w:rsidRPr="0092253B">
        <w:rPr>
          <w:rFonts w:asciiTheme="majorBidi" w:hAnsiTheme="majorBidi"/>
          <w:iCs/>
          <w:lang w:bidi="ar-JO"/>
        </w:rPr>
        <w:t>Francois, J.F. (1990b), “Trade in producer services and returns due to specialization under monopolistic competition”, Canadian Journal of Economics, Vol. 23, pp. 109-124.</w:t>
      </w:r>
    </w:p>
    <w:p w:rsidR="00592824" w:rsidRPr="00407DEC" w:rsidRDefault="00592824" w:rsidP="00592824">
      <w:pPr>
        <w:bidi w:val="0"/>
        <w:spacing w:line="240" w:lineRule="auto"/>
        <w:jc w:val="both"/>
        <w:rPr>
          <w:rFonts w:ascii="TimesNewRoman" w:hAnsi="TimesNewRoman" w:cs="TimesNewRoman"/>
          <w:iCs/>
        </w:rPr>
      </w:pPr>
      <w:r w:rsidRPr="00407DEC">
        <w:rPr>
          <w:rFonts w:ascii="TimesNewRoman" w:hAnsi="TimesNewRoman" w:cs="TimesNewRoman"/>
          <w:iCs/>
        </w:rPr>
        <w:t xml:space="preserve">Fuchs, V.R. (1968), </w:t>
      </w:r>
      <w:proofErr w:type="gramStart"/>
      <w:r w:rsidRPr="00407DEC">
        <w:rPr>
          <w:rFonts w:ascii="TimesNewRoman,Italic" w:hAnsi="TimesNewRoman,Italic" w:cs="TimesNewRoman,Italic"/>
          <w:iCs/>
        </w:rPr>
        <w:t>The</w:t>
      </w:r>
      <w:proofErr w:type="gramEnd"/>
      <w:r w:rsidRPr="00407DEC">
        <w:rPr>
          <w:rFonts w:ascii="TimesNewRoman,Italic" w:hAnsi="TimesNewRoman,Italic" w:cs="TimesNewRoman,Italic"/>
          <w:iCs/>
        </w:rPr>
        <w:t xml:space="preserve"> Service Economy</w:t>
      </w:r>
      <w:r w:rsidRPr="00407DEC">
        <w:rPr>
          <w:rFonts w:ascii="TimesNewRoman" w:hAnsi="TimesNewRoman" w:cs="TimesNewRoman"/>
          <w:iCs/>
        </w:rPr>
        <w:t>, Columbia University Press.</w:t>
      </w:r>
    </w:p>
    <w:p w:rsidR="00592824" w:rsidRPr="0092253B" w:rsidRDefault="00592824" w:rsidP="00592824">
      <w:pPr>
        <w:bidi w:val="0"/>
        <w:spacing w:line="240" w:lineRule="auto"/>
        <w:jc w:val="both"/>
        <w:rPr>
          <w:rFonts w:ascii="Times New Roman" w:hAnsi="Times New Roman" w:cs="Times New Roman"/>
          <w:iCs/>
          <w:lang w:bidi="ar-JO"/>
        </w:rPr>
      </w:pPr>
      <w:r w:rsidRPr="0092253B">
        <w:rPr>
          <w:rFonts w:asciiTheme="majorBidi" w:hAnsiTheme="majorBidi"/>
          <w:iCs/>
          <w:lang w:bidi="ar-JO"/>
        </w:rPr>
        <w:t xml:space="preserve">Guardia &amp; </w:t>
      </w:r>
      <w:proofErr w:type="spellStart"/>
      <w:r w:rsidRPr="0092253B">
        <w:rPr>
          <w:rFonts w:asciiTheme="majorBidi" w:hAnsiTheme="majorBidi"/>
          <w:iCs/>
          <w:lang w:bidi="ar-JO"/>
        </w:rPr>
        <w:t>Molero</w:t>
      </w:r>
      <w:proofErr w:type="spellEnd"/>
      <w:r w:rsidRPr="0092253B">
        <w:rPr>
          <w:rFonts w:asciiTheme="majorBidi" w:hAnsiTheme="majorBidi"/>
          <w:iCs/>
          <w:lang w:bidi="ar-JO"/>
        </w:rPr>
        <w:t xml:space="preserve"> (2003), "</w:t>
      </w:r>
      <w:r w:rsidRPr="0092253B">
        <w:rPr>
          <w:rFonts w:ascii="Times New Roman" w:hAnsi="Times New Roman" w:cs="Times New Roman"/>
          <w:iCs/>
          <w:lang w:bidi="ar-JO"/>
        </w:rPr>
        <w:t xml:space="preserve">Compared Analysis of the International Competitiveness of the Services Sector in Some OECD´s Countries", </w:t>
      </w:r>
      <w:r w:rsidRPr="0092253B">
        <w:rPr>
          <w:rFonts w:asciiTheme="majorBidi" w:hAnsiTheme="majorBidi"/>
          <w:iCs/>
          <w:lang w:bidi="ar-JO"/>
        </w:rPr>
        <w:t>European Research Project SETI</w:t>
      </w:r>
      <w:r w:rsidRPr="0092253B">
        <w:rPr>
          <w:rFonts w:ascii="Times New Roman" w:hAnsi="Times New Roman" w:cs="Times New Roman"/>
          <w:iCs/>
          <w:lang w:bidi="ar-JO"/>
        </w:rPr>
        <w:t xml:space="preserve">. </w:t>
      </w:r>
    </w:p>
    <w:p w:rsidR="00592824" w:rsidRPr="0092253B" w:rsidRDefault="00592824" w:rsidP="00592824">
      <w:pPr>
        <w:bidi w:val="0"/>
        <w:spacing w:line="240" w:lineRule="auto"/>
        <w:jc w:val="both"/>
        <w:rPr>
          <w:rFonts w:asciiTheme="majorBidi" w:hAnsiTheme="majorBidi"/>
          <w:iCs/>
          <w:lang w:bidi="ar-JO"/>
        </w:rPr>
      </w:pPr>
      <w:r w:rsidRPr="0092253B">
        <w:rPr>
          <w:rFonts w:asciiTheme="majorBidi" w:hAnsiTheme="majorBidi"/>
          <w:iCs/>
          <w:lang w:bidi="ar-JO"/>
        </w:rPr>
        <w:t xml:space="preserve">Guardia, </w:t>
      </w:r>
      <w:proofErr w:type="spellStart"/>
      <w:r w:rsidRPr="0092253B">
        <w:rPr>
          <w:rFonts w:asciiTheme="majorBidi" w:hAnsiTheme="majorBidi"/>
          <w:iCs/>
          <w:lang w:bidi="ar-JO"/>
        </w:rPr>
        <w:t>Molero</w:t>
      </w:r>
      <w:proofErr w:type="spellEnd"/>
      <w:r w:rsidRPr="0092253B">
        <w:rPr>
          <w:rFonts w:asciiTheme="majorBidi" w:hAnsiTheme="majorBidi"/>
          <w:iCs/>
          <w:lang w:bidi="ar-JO"/>
        </w:rPr>
        <w:t xml:space="preserve">, &amp; </w:t>
      </w:r>
      <w:proofErr w:type="spellStart"/>
      <w:r w:rsidRPr="0092253B">
        <w:rPr>
          <w:rFonts w:asciiTheme="majorBidi" w:hAnsiTheme="majorBidi"/>
          <w:iCs/>
          <w:lang w:bidi="ar-JO"/>
        </w:rPr>
        <w:t>Valadez</w:t>
      </w:r>
      <w:proofErr w:type="spellEnd"/>
      <w:r w:rsidRPr="0092253B">
        <w:rPr>
          <w:rFonts w:asciiTheme="majorBidi" w:hAnsiTheme="majorBidi"/>
          <w:iCs/>
          <w:lang w:bidi="ar-JO"/>
        </w:rPr>
        <w:t xml:space="preserve"> (2005), "International Competitiveness in Services in Some European Countries: Basic Facts and a Preliminary Attempt of Interpretation", European Research Project SETI.</w:t>
      </w:r>
    </w:p>
    <w:p w:rsidR="00592824" w:rsidRPr="0092253B" w:rsidRDefault="00592824" w:rsidP="00592824">
      <w:pPr>
        <w:bidi w:val="0"/>
        <w:spacing w:line="240" w:lineRule="auto"/>
        <w:jc w:val="both"/>
        <w:rPr>
          <w:rFonts w:asciiTheme="majorBidi" w:hAnsiTheme="majorBidi"/>
          <w:iCs/>
          <w:lang w:bidi="ar-JO"/>
        </w:rPr>
      </w:pPr>
      <w:proofErr w:type="gramStart"/>
      <w:r w:rsidRPr="0092253B">
        <w:rPr>
          <w:rFonts w:asciiTheme="majorBidi" w:hAnsiTheme="majorBidi"/>
          <w:iCs/>
          <w:lang w:bidi="ar-JO"/>
        </w:rPr>
        <w:t xml:space="preserve">Jones, R.W. and F. </w:t>
      </w:r>
      <w:proofErr w:type="spellStart"/>
      <w:r w:rsidRPr="0092253B">
        <w:rPr>
          <w:rFonts w:asciiTheme="majorBidi" w:hAnsiTheme="majorBidi"/>
          <w:iCs/>
          <w:lang w:bidi="ar-JO"/>
        </w:rPr>
        <w:t>Ruane</w:t>
      </w:r>
      <w:proofErr w:type="spellEnd"/>
      <w:r w:rsidRPr="0092253B">
        <w:rPr>
          <w:rFonts w:asciiTheme="majorBidi" w:hAnsiTheme="majorBidi"/>
          <w:iCs/>
          <w:lang w:bidi="ar-JO"/>
        </w:rPr>
        <w:t xml:space="preserve"> (1990), “Appraising the options for international trade in services”, Oxford Economic Papers, Vol. 42, pp. 672-687.</w:t>
      </w:r>
      <w:proofErr w:type="gramEnd"/>
    </w:p>
    <w:p w:rsidR="00592824" w:rsidRPr="00407DEC" w:rsidRDefault="00592824" w:rsidP="00592824">
      <w:pPr>
        <w:bidi w:val="0"/>
        <w:spacing w:line="240" w:lineRule="auto"/>
        <w:jc w:val="both"/>
        <w:rPr>
          <w:rFonts w:asciiTheme="majorBidi" w:hAnsiTheme="majorBidi"/>
          <w:iCs/>
          <w:lang w:bidi="ar-JO"/>
        </w:rPr>
      </w:pPr>
      <w:proofErr w:type="spellStart"/>
      <w:r w:rsidRPr="00407DEC">
        <w:rPr>
          <w:rFonts w:asciiTheme="majorBidi" w:hAnsiTheme="majorBidi"/>
          <w:iCs/>
          <w:lang w:bidi="ar-JO"/>
        </w:rPr>
        <w:t>Karam</w:t>
      </w:r>
      <w:proofErr w:type="spellEnd"/>
      <w:r w:rsidRPr="00407DEC">
        <w:rPr>
          <w:rFonts w:asciiTheme="majorBidi" w:hAnsiTheme="majorBidi"/>
          <w:iCs/>
          <w:lang w:bidi="ar-JO"/>
        </w:rPr>
        <w:t xml:space="preserve"> &amp; </w:t>
      </w:r>
      <w:proofErr w:type="spellStart"/>
      <w:r w:rsidRPr="00407DEC">
        <w:rPr>
          <w:rFonts w:asciiTheme="majorBidi" w:hAnsiTheme="majorBidi"/>
          <w:iCs/>
          <w:lang w:bidi="ar-JO"/>
        </w:rPr>
        <w:t>Zaki</w:t>
      </w:r>
      <w:proofErr w:type="spellEnd"/>
      <w:r w:rsidRPr="00407DEC">
        <w:rPr>
          <w:rFonts w:asciiTheme="majorBidi" w:hAnsiTheme="majorBidi"/>
          <w:iCs/>
          <w:lang w:bidi="ar-JO"/>
        </w:rPr>
        <w:t xml:space="preserve"> (2011), "On the Determinants of Trade in Services: Evidence from the MENA Region", Unpublished.</w:t>
      </w:r>
    </w:p>
    <w:p w:rsidR="00592824" w:rsidRPr="0092253B" w:rsidRDefault="00592824" w:rsidP="00592824">
      <w:pPr>
        <w:bidi w:val="0"/>
        <w:spacing w:line="240" w:lineRule="auto"/>
        <w:jc w:val="both"/>
        <w:rPr>
          <w:rFonts w:asciiTheme="majorBidi" w:hAnsiTheme="majorBidi"/>
          <w:lang w:bidi="ar-JO"/>
        </w:rPr>
      </w:pPr>
      <w:r w:rsidRPr="0092253B">
        <w:rPr>
          <w:rFonts w:asciiTheme="majorBidi" w:hAnsiTheme="majorBidi"/>
          <w:lang w:bidi="ar-JO"/>
        </w:rPr>
        <w:t>Manners &amp; Behar (2007),</w:t>
      </w:r>
      <w:r>
        <w:rPr>
          <w:rFonts w:asciiTheme="majorBidi" w:hAnsiTheme="majorBidi"/>
          <w:i/>
          <w:iCs/>
          <w:lang w:bidi="ar-JO"/>
        </w:rPr>
        <w:t xml:space="preserve"> </w:t>
      </w:r>
      <w:r>
        <w:rPr>
          <w:rFonts w:asciiTheme="majorBidi" w:hAnsiTheme="majorBidi"/>
          <w:lang w:bidi="ar-JO"/>
        </w:rPr>
        <w:t>"</w:t>
      </w:r>
      <w:r w:rsidRPr="0092253B">
        <w:rPr>
          <w:rFonts w:asciiTheme="majorBidi" w:hAnsiTheme="majorBidi"/>
          <w:lang w:bidi="ar-JO"/>
        </w:rPr>
        <w:t>Trade in Sub-Saharan Africa and</w:t>
      </w:r>
      <w:r>
        <w:rPr>
          <w:rFonts w:asciiTheme="majorBidi" w:hAnsiTheme="majorBidi"/>
          <w:lang w:bidi="ar-JO"/>
        </w:rPr>
        <w:t xml:space="preserve"> </w:t>
      </w:r>
      <w:r w:rsidRPr="0092253B">
        <w:rPr>
          <w:rFonts w:asciiTheme="majorBidi" w:hAnsiTheme="majorBidi"/>
          <w:lang w:bidi="ar-JO"/>
        </w:rPr>
        <w:t>Opportunities for Low Income</w:t>
      </w:r>
      <w:r>
        <w:rPr>
          <w:rFonts w:asciiTheme="majorBidi" w:hAnsiTheme="majorBidi"/>
          <w:lang w:bidi="ar-JO"/>
        </w:rPr>
        <w:t xml:space="preserve"> </w:t>
      </w:r>
      <w:r w:rsidRPr="0092253B">
        <w:rPr>
          <w:rFonts w:asciiTheme="majorBidi" w:hAnsiTheme="majorBidi"/>
          <w:lang w:bidi="ar-JO"/>
        </w:rPr>
        <w:t>Countries</w:t>
      </w:r>
      <w:r>
        <w:rPr>
          <w:rFonts w:asciiTheme="majorBidi" w:hAnsiTheme="majorBidi"/>
          <w:lang w:bidi="ar-JO"/>
        </w:rPr>
        <w:t>", World Bank World Development Report 2009.</w:t>
      </w:r>
    </w:p>
    <w:p w:rsidR="00592824" w:rsidRPr="0092253B" w:rsidRDefault="00592824" w:rsidP="00592824">
      <w:pPr>
        <w:bidi w:val="0"/>
        <w:spacing w:line="240" w:lineRule="auto"/>
        <w:jc w:val="both"/>
        <w:rPr>
          <w:rFonts w:asciiTheme="majorBidi" w:hAnsiTheme="majorBidi"/>
          <w:iCs/>
          <w:lang w:bidi="ar-JO"/>
        </w:rPr>
      </w:pPr>
      <w:proofErr w:type="spellStart"/>
      <w:r w:rsidRPr="0092253B">
        <w:rPr>
          <w:rFonts w:asciiTheme="majorBidi" w:hAnsiTheme="majorBidi"/>
          <w:iCs/>
          <w:lang w:bidi="ar-JO"/>
        </w:rPr>
        <w:t>Markusen</w:t>
      </w:r>
      <w:proofErr w:type="spellEnd"/>
      <w:r w:rsidRPr="0092253B">
        <w:rPr>
          <w:rFonts w:asciiTheme="majorBidi" w:hAnsiTheme="majorBidi"/>
          <w:iCs/>
          <w:lang w:bidi="ar-JO"/>
        </w:rPr>
        <w:t xml:space="preserve">, J.R. (1989), “Trade in producer services and in other </w:t>
      </w:r>
      <w:proofErr w:type="spellStart"/>
      <w:r w:rsidRPr="0092253B">
        <w:rPr>
          <w:rFonts w:asciiTheme="majorBidi" w:hAnsiTheme="majorBidi"/>
          <w:iCs/>
          <w:lang w:bidi="ar-JO"/>
        </w:rPr>
        <w:t>specialised</w:t>
      </w:r>
      <w:proofErr w:type="spellEnd"/>
      <w:r w:rsidRPr="0092253B">
        <w:rPr>
          <w:rFonts w:asciiTheme="majorBidi" w:hAnsiTheme="majorBidi"/>
          <w:iCs/>
          <w:lang w:bidi="ar-JO"/>
        </w:rPr>
        <w:t xml:space="preserve"> intermediate inputs”, American Economic Review, Vol. 79, pp. 85-95.</w:t>
      </w:r>
    </w:p>
    <w:p w:rsidR="00592824" w:rsidRPr="0092253B" w:rsidRDefault="00592824" w:rsidP="00592824">
      <w:pPr>
        <w:bidi w:val="0"/>
        <w:spacing w:line="240" w:lineRule="auto"/>
        <w:jc w:val="both"/>
        <w:rPr>
          <w:rFonts w:asciiTheme="majorBidi" w:hAnsiTheme="majorBidi"/>
          <w:iCs/>
          <w:lang w:bidi="ar-JO"/>
        </w:rPr>
      </w:pPr>
      <w:r w:rsidRPr="0092253B">
        <w:rPr>
          <w:rFonts w:asciiTheme="majorBidi" w:hAnsiTheme="majorBidi"/>
          <w:iCs/>
          <w:lang w:bidi="ar-JO"/>
        </w:rPr>
        <w:lastRenderedPageBreak/>
        <w:t xml:space="preserve">Melvin, J.R. (1989), “Trade in producer services: A </w:t>
      </w:r>
      <w:proofErr w:type="spellStart"/>
      <w:r w:rsidRPr="0092253B">
        <w:rPr>
          <w:rFonts w:asciiTheme="majorBidi" w:hAnsiTheme="majorBidi"/>
          <w:iCs/>
          <w:lang w:bidi="ar-JO"/>
        </w:rPr>
        <w:t>Heckscher</w:t>
      </w:r>
      <w:proofErr w:type="spellEnd"/>
      <w:r w:rsidRPr="0092253B">
        <w:rPr>
          <w:rFonts w:asciiTheme="majorBidi" w:hAnsiTheme="majorBidi"/>
          <w:iCs/>
          <w:lang w:bidi="ar-JO"/>
        </w:rPr>
        <w:t>-Ohlin approach”, Journal of Political Economy, Vol. 97, pp. 1180-1196.</w:t>
      </w:r>
    </w:p>
    <w:p w:rsidR="00592824" w:rsidRPr="0092253B" w:rsidRDefault="00592824" w:rsidP="00592824">
      <w:pPr>
        <w:bidi w:val="0"/>
        <w:spacing w:line="240" w:lineRule="auto"/>
        <w:jc w:val="both"/>
        <w:rPr>
          <w:rFonts w:asciiTheme="majorBidi" w:hAnsiTheme="majorBidi"/>
          <w:iCs/>
          <w:lang w:bidi="ar-JO"/>
        </w:rPr>
      </w:pPr>
      <w:proofErr w:type="spellStart"/>
      <w:proofErr w:type="gramStart"/>
      <w:r w:rsidRPr="0092253B">
        <w:rPr>
          <w:rFonts w:asciiTheme="majorBidi" w:hAnsiTheme="majorBidi"/>
          <w:iCs/>
          <w:lang w:bidi="ar-JO"/>
        </w:rPr>
        <w:t>Midelfart-Knarvik</w:t>
      </w:r>
      <w:proofErr w:type="spellEnd"/>
      <w:r w:rsidRPr="0092253B">
        <w:rPr>
          <w:rFonts w:asciiTheme="majorBidi" w:hAnsiTheme="majorBidi"/>
          <w:iCs/>
          <w:lang w:bidi="ar-JO"/>
        </w:rPr>
        <w:t xml:space="preserve">, K.H, H.G. </w:t>
      </w:r>
      <w:proofErr w:type="spellStart"/>
      <w:r w:rsidRPr="0092253B">
        <w:rPr>
          <w:rFonts w:asciiTheme="majorBidi" w:hAnsiTheme="majorBidi"/>
          <w:iCs/>
          <w:lang w:bidi="ar-JO"/>
        </w:rPr>
        <w:t>Overman</w:t>
      </w:r>
      <w:proofErr w:type="spellEnd"/>
      <w:r w:rsidRPr="0092253B">
        <w:rPr>
          <w:rFonts w:asciiTheme="majorBidi" w:hAnsiTheme="majorBidi"/>
          <w:iCs/>
          <w:lang w:bidi="ar-JO"/>
        </w:rPr>
        <w:t xml:space="preserve">, </w:t>
      </w:r>
      <w:proofErr w:type="spellStart"/>
      <w:r w:rsidRPr="0092253B">
        <w:rPr>
          <w:rFonts w:asciiTheme="majorBidi" w:hAnsiTheme="majorBidi"/>
          <w:iCs/>
          <w:lang w:bidi="ar-JO"/>
        </w:rPr>
        <w:t>S.J.Redding</w:t>
      </w:r>
      <w:proofErr w:type="spellEnd"/>
      <w:r w:rsidRPr="0092253B">
        <w:rPr>
          <w:rFonts w:asciiTheme="majorBidi" w:hAnsiTheme="majorBidi"/>
          <w:iCs/>
          <w:lang w:bidi="ar-JO"/>
        </w:rPr>
        <w:t xml:space="preserve"> and A.J. </w:t>
      </w:r>
      <w:proofErr w:type="spellStart"/>
      <w:r w:rsidRPr="0092253B">
        <w:rPr>
          <w:rFonts w:asciiTheme="majorBidi" w:hAnsiTheme="majorBidi"/>
          <w:iCs/>
          <w:lang w:bidi="ar-JO"/>
        </w:rPr>
        <w:t>Venables</w:t>
      </w:r>
      <w:proofErr w:type="spellEnd"/>
      <w:r w:rsidRPr="0092253B">
        <w:rPr>
          <w:rFonts w:asciiTheme="majorBidi" w:hAnsiTheme="majorBidi"/>
          <w:iCs/>
          <w:lang w:bidi="ar-JO"/>
        </w:rPr>
        <w:t xml:space="preserve"> (2000), “The location of European industry”, Report prepared for the Directorate General for Economic and Financial Affairs, European Commission.</w:t>
      </w:r>
      <w:proofErr w:type="gramEnd"/>
    </w:p>
    <w:p w:rsidR="00592824" w:rsidRPr="00407DEC" w:rsidRDefault="00592824" w:rsidP="00592824">
      <w:pPr>
        <w:bidi w:val="0"/>
        <w:spacing w:line="240" w:lineRule="auto"/>
        <w:jc w:val="both"/>
        <w:rPr>
          <w:rFonts w:asciiTheme="majorBidi" w:hAnsiTheme="majorBidi"/>
          <w:iCs/>
          <w:lang w:bidi="ar-JO"/>
        </w:rPr>
      </w:pPr>
      <w:r w:rsidRPr="00407DEC">
        <w:rPr>
          <w:rFonts w:asciiTheme="majorBidi" w:hAnsiTheme="majorBidi"/>
          <w:iCs/>
          <w:lang w:bidi="ar-JO"/>
        </w:rPr>
        <w:t xml:space="preserve">Nugent, (2002), “Why does MENA trade so little? </w:t>
      </w:r>
      <w:proofErr w:type="gramStart"/>
      <w:r w:rsidRPr="00407DEC">
        <w:rPr>
          <w:rFonts w:asciiTheme="majorBidi" w:hAnsiTheme="majorBidi"/>
          <w:iCs/>
          <w:lang w:bidi="ar-JO"/>
        </w:rPr>
        <w:t>Background paper to the MENA Development Report 2003”, World Bank.</w:t>
      </w:r>
      <w:proofErr w:type="gramEnd"/>
    </w:p>
    <w:p w:rsidR="00592824" w:rsidRPr="00407DEC" w:rsidRDefault="00592824" w:rsidP="00592824">
      <w:pPr>
        <w:bidi w:val="0"/>
        <w:spacing w:line="240" w:lineRule="auto"/>
        <w:jc w:val="both"/>
        <w:rPr>
          <w:rFonts w:asciiTheme="majorBidi" w:hAnsiTheme="majorBidi"/>
          <w:iCs/>
          <w:lang w:bidi="ar-JO"/>
        </w:rPr>
      </w:pPr>
      <w:r w:rsidRPr="00407DEC">
        <w:rPr>
          <w:rFonts w:asciiTheme="majorBidi" w:hAnsiTheme="majorBidi"/>
          <w:iCs/>
          <w:lang w:bidi="ar-JO"/>
        </w:rPr>
        <w:t>Triplett, J.E. and B.P. Bosworth (2002), Productivity in the services sector, in R.E. Stern (ed.), Services in the International Economy.</w:t>
      </w:r>
    </w:p>
    <w:p w:rsidR="00592824" w:rsidRPr="0092253B" w:rsidRDefault="00592824" w:rsidP="00592824">
      <w:pPr>
        <w:bidi w:val="0"/>
        <w:spacing w:line="240" w:lineRule="auto"/>
        <w:jc w:val="both"/>
        <w:rPr>
          <w:rFonts w:asciiTheme="majorBidi" w:hAnsiTheme="majorBidi"/>
          <w:iCs/>
          <w:lang w:bidi="ar-JO"/>
        </w:rPr>
      </w:pPr>
      <w:r w:rsidRPr="00407DEC">
        <w:rPr>
          <w:rFonts w:asciiTheme="majorBidi" w:hAnsiTheme="majorBidi"/>
          <w:iCs/>
          <w:lang w:bidi="ar-JO"/>
        </w:rPr>
        <w:t xml:space="preserve">World Bank (2002) Chapter 2 in From natural resources to the knowledge </w:t>
      </w:r>
      <w:proofErr w:type="gramStart"/>
      <w:r w:rsidRPr="00407DEC">
        <w:rPr>
          <w:rFonts w:asciiTheme="majorBidi" w:hAnsiTheme="majorBidi"/>
          <w:iCs/>
          <w:lang w:bidi="ar-JO"/>
        </w:rPr>
        <w:t>economy :</w:t>
      </w:r>
      <w:proofErr w:type="gramEnd"/>
      <w:r w:rsidRPr="0092253B">
        <w:rPr>
          <w:rFonts w:asciiTheme="majorBidi" w:hAnsiTheme="majorBidi"/>
          <w:iCs/>
          <w:lang w:bidi="ar-JO"/>
        </w:rPr>
        <w:t xml:space="preserve"> trade and job quality.</w:t>
      </w:r>
    </w:p>
    <w:p w:rsidR="00592824" w:rsidRPr="0092253B" w:rsidRDefault="00592824" w:rsidP="00592824">
      <w:pPr>
        <w:bidi w:val="0"/>
        <w:spacing w:line="240" w:lineRule="auto"/>
        <w:jc w:val="both"/>
        <w:rPr>
          <w:rFonts w:asciiTheme="majorBidi" w:hAnsiTheme="majorBidi"/>
          <w:iCs/>
          <w:lang w:bidi="ar-JO"/>
        </w:rPr>
      </w:pPr>
      <w:r w:rsidRPr="0092253B">
        <w:rPr>
          <w:rFonts w:asciiTheme="majorBidi" w:hAnsiTheme="majorBidi"/>
          <w:iCs/>
          <w:lang w:bidi="ar-JO"/>
        </w:rPr>
        <w:t>World Trade Organization (2010), World Trade Report 2010: Trade in natural resources.</w:t>
      </w:r>
    </w:p>
    <w:p w:rsidR="00592824" w:rsidRPr="0092253B" w:rsidRDefault="00592824" w:rsidP="00592824">
      <w:pPr>
        <w:bidi w:val="0"/>
        <w:rPr>
          <w:rFonts w:asciiTheme="majorBidi" w:hAnsiTheme="majorBidi"/>
          <w:iCs/>
          <w:lang w:bidi="ar-JO"/>
        </w:rPr>
      </w:pPr>
      <w:proofErr w:type="gramStart"/>
      <w:r w:rsidRPr="0092253B">
        <w:rPr>
          <w:rFonts w:asciiTheme="majorBidi" w:hAnsiTheme="majorBidi"/>
          <w:iCs/>
          <w:lang w:bidi="ar-JO"/>
        </w:rPr>
        <w:t>WTO (2011), World Trade 2</w:t>
      </w:r>
      <w:r>
        <w:rPr>
          <w:rFonts w:asciiTheme="majorBidi" w:hAnsiTheme="majorBidi"/>
          <w:iCs/>
          <w:lang w:bidi="ar-JO"/>
        </w:rPr>
        <w:t xml:space="preserve"> W</w:t>
      </w:r>
      <w:r w:rsidRPr="0092253B">
        <w:rPr>
          <w:rFonts w:asciiTheme="majorBidi" w:hAnsiTheme="majorBidi"/>
          <w:iCs/>
          <w:lang w:bidi="ar-JO"/>
        </w:rPr>
        <w:t>orld Trade 2010, Prospects for 2011, Press Release.</w:t>
      </w:r>
      <w:proofErr w:type="gramEnd"/>
      <w:r w:rsidRPr="0092253B">
        <w:rPr>
          <w:rFonts w:asciiTheme="majorBidi" w:hAnsiTheme="majorBidi"/>
          <w:iCs/>
          <w:lang w:bidi="ar-JO"/>
        </w:rPr>
        <w:t xml:space="preserve"> </w:t>
      </w:r>
    </w:p>
    <w:p w:rsidR="00592824" w:rsidRPr="0044697F" w:rsidRDefault="00592824" w:rsidP="00592824"/>
    <w:p w:rsidR="00592824" w:rsidRPr="00FC5551" w:rsidRDefault="00592824" w:rsidP="00592824"/>
    <w:p w:rsidR="002F03C2" w:rsidRPr="00592824" w:rsidRDefault="002F03C2"/>
    <w:sectPr w:rsidR="002F03C2" w:rsidRPr="00592824" w:rsidSect="0025551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92E" w:rsidRDefault="000B292E" w:rsidP="00592824">
      <w:pPr>
        <w:spacing w:after="0" w:line="240" w:lineRule="auto"/>
      </w:pPr>
      <w:r>
        <w:separator/>
      </w:r>
    </w:p>
  </w:endnote>
  <w:endnote w:type="continuationSeparator" w:id="0">
    <w:p w:rsidR="000B292E" w:rsidRDefault="000B292E" w:rsidP="0059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92E" w:rsidRDefault="000B292E" w:rsidP="00592824">
      <w:pPr>
        <w:spacing w:after="0" w:line="240" w:lineRule="auto"/>
      </w:pPr>
      <w:r>
        <w:separator/>
      </w:r>
    </w:p>
  </w:footnote>
  <w:footnote w:type="continuationSeparator" w:id="0">
    <w:p w:rsidR="000B292E" w:rsidRDefault="000B292E" w:rsidP="00592824">
      <w:pPr>
        <w:spacing w:after="0" w:line="240" w:lineRule="auto"/>
      </w:pPr>
      <w:r>
        <w:continuationSeparator/>
      </w:r>
    </w:p>
  </w:footnote>
  <w:footnote w:id="1">
    <w:p w:rsidR="000142D2" w:rsidRDefault="000142D2" w:rsidP="000142D2">
      <w:pPr>
        <w:pStyle w:val="FootnoteText"/>
        <w:bidi w:val="0"/>
      </w:pPr>
      <w:r>
        <w:rPr>
          <w:rStyle w:val="FootnoteReference"/>
        </w:rPr>
        <w:footnoteRef/>
      </w:r>
      <w:r>
        <w:rPr>
          <w:rtl/>
        </w:rPr>
        <w:t xml:space="preserve"> </w:t>
      </w:r>
      <w:r>
        <w:t xml:space="preserve">Ass. Prof. Petra University </w:t>
      </w:r>
    </w:p>
    <w:p w:rsidR="000142D2" w:rsidRDefault="003F10BE" w:rsidP="000142D2">
      <w:pPr>
        <w:pStyle w:val="FootnoteText"/>
        <w:bidi w:val="0"/>
      </w:pPr>
      <w:hyperlink r:id="rId1" w:history="1">
        <w:r w:rsidR="000142D2">
          <w:rPr>
            <w:rStyle w:val="Hyperlink"/>
          </w:rPr>
          <w:t>http://www.uop.edu.jo/faculties/memberresume.aspx?mid=341&amp;f=3&amp;lang=en&amp;location=faculties</w:t>
        </w:r>
      </w:hyperlink>
    </w:p>
  </w:footnote>
  <w:footnote w:id="2">
    <w:p w:rsidR="00592824" w:rsidRDefault="00592824" w:rsidP="00592824">
      <w:pPr>
        <w:pStyle w:val="FootnoteText"/>
        <w:bidi w:val="0"/>
      </w:pPr>
      <w:r>
        <w:rPr>
          <w:rStyle w:val="FootnoteReference"/>
        </w:rPr>
        <w:footnoteRef/>
      </w:r>
      <w:r>
        <w:rPr>
          <w:rtl/>
        </w:rPr>
        <w:t xml:space="preserve"> </w:t>
      </w:r>
      <w:r>
        <w:t>: Trade balance in services is the difference between service exports and service imports.</w:t>
      </w:r>
    </w:p>
  </w:footnote>
  <w:footnote w:id="3">
    <w:p w:rsidR="00592824" w:rsidRDefault="00592824" w:rsidP="00592824">
      <w:pPr>
        <w:pStyle w:val="FootnoteText"/>
        <w:bidi w:val="0"/>
      </w:pPr>
      <w:r>
        <w:rPr>
          <w:rStyle w:val="FootnoteReference"/>
        </w:rPr>
        <w:footnoteRef/>
      </w:r>
      <w:r>
        <w:rPr>
          <w:rtl/>
        </w:rPr>
        <w:t xml:space="preserve"> </w:t>
      </w:r>
      <w:r>
        <w:t>: Total trade in services is the sum of service exports and service imports.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D5"/>
    <w:multiLevelType w:val="hybridMultilevel"/>
    <w:tmpl w:val="C660C910"/>
    <w:lvl w:ilvl="0" w:tplc="3D289D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6EB7519"/>
    <w:multiLevelType w:val="hybridMultilevel"/>
    <w:tmpl w:val="179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25175"/>
    <w:multiLevelType w:val="hybridMultilevel"/>
    <w:tmpl w:val="8FCE3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57E07FA"/>
    <w:multiLevelType w:val="hybridMultilevel"/>
    <w:tmpl w:val="83082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432A1"/>
    <w:multiLevelType w:val="hybridMultilevel"/>
    <w:tmpl w:val="F2C04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121414C"/>
    <w:multiLevelType w:val="hybridMultilevel"/>
    <w:tmpl w:val="252C52F4"/>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24"/>
    <w:rsid w:val="000142D2"/>
    <w:rsid w:val="000B292E"/>
    <w:rsid w:val="002F03C2"/>
    <w:rsid w:val="003439E5"/>
    <w:rsid w:val="00374D53"/>
    <w:rsid w:val="003F10BE"/>
    <w:rsid w:val="003F1EFB"/>
    <w:rsid w:val="003F3F1D"/>
    <w:rsid w:val="00592824"/>
    <w:rsid w:val="006901B4"/>
    <w:rsid w:val="00722A12"/>
    <w:rsid w:val="00765EEB"/>
    <w:rsid w:val="007C1F06"/>
    <w:rsid w:val="008800B7"/>
    <w:rsid w:val="00923E20"/>
    <w:rsid w:val="009874C9"/>
    <w:rsid w:val="00CB51A4"/>
    <w:rsid w:val="00E5321B"/>
    <w:rsid w:val="00EF6B55"/>
    <w:rsid w:val="00FB6E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24"/>
    <w:pPr>
      <w:bidi/>
    </w:pPr>
    <w:rPr>
      <w:rFonts w:ascii="Cambria Math" w:hAnsi="Cambria Math" w:cstheme="majorBidi"/>
      <w:sz w:val="24"/>
      <w:szCs w:val="24"/>
    </w:rPr>
  </w:style>
  <w:style w:type="paragraph" w:styleId="Heading1">
    <w:name w:val="heading 1"/>
    <w:basedOn w:val="Normal"/>
    <w:next w:val="Normal"/>
    <w:link w:val="Heading1Char"/>
    <w:uiPriority w:val="9"/>
    <w:qFormat/>
    <w:rsid w:val="00592824"/>
    <w:pPr>
      <w:keepNext/>
      <w:keepLines/>
      <w:spacing w:before="480" w:after="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8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92824"/>
    <w:pPr>
      <w:ind w:left="720"/>
      <w:contextualSpacing/>
    </w:pPr>
  </w:style>
  <w:style w:type="character" w:styleId="Emphasis">
    <w:name w:val="Emphasis"/>
    <w:basedOn w:val="DefaultParagraphFont"/>
    <w:uiPriority w:val="20"/>
    <w:qFormat/>
    <w:rsid w:val="00592824"/>
    <w:rPr>
      <w:i/>
      <w:iCs/>
    </w:rPr>
  </w:style>
  <w:style w:type="paragraph" w:styleId="BalloonText">
    <w:name w:val="Balloon Text"/>
    <w:basedOn w:val="Normal"/>
    <w:link w:val="BalloonTextChar"/>
    <w:uiPriority w:val="99"/>
    <w:semiHidden/>
    <w:unhideWhenUsed/>
    <w:rsid w:val="0059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24"/>
    <w:rPr>
      <w:rFonts w:ascii="Tahoma" w:hAnsi="Tahoma" w:cs="Tahoma"/>
      <w:sz w:val="16"/>
      <w:szCs w:val="16"/>
    </w:rPr>
  </w:style>
  <w:style w:type="table" w:customStyle="1" w:styleId="LightShading-Accent11">
    <w:name w:val="Light Shading - Accent 11"/>
    <w:basedOn w:val="TableNormal"/>
    <w:uiPriority w:val="60"/>
    <w:rsid w:val="00592824"/>
    <w:pPr>
      <w:spacing w:after="0" w:line="240" w:lineRule="auto"/>
    </w:pPr>
    <w:rPr>
      <w:rFonts w:ascii="Cambria Math" w:hAnsi="Cambria Math" w:cstheme="majorBidi"/>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592824"/>
    <w:rPr>
      <w:color w:val="808080"/>
    </w:rPr>
  </w:style>
  <w:style w:type="paragraph" w:styleId="Header">
    <w:name w:val="header"/>
    <w:basedOn w:val="Normal"/>
    <w:link w:val="HeaderChar"/>
    <w:uiPriority w:val="99"/>
    <w:semiHidden/>
    <w:unhideWhenUsed/>
    <w:rsid w:val="0059282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92824"/>
    <w:rPr>
      <w:rFonts w:ascii="Cambria Math" w:hAnsi="Cambria Math" w:cstheme="majorBidi"/>
      <w:sz w:val="24"/>
      <w:szCs w:val="24"/>
    </w:rPr>
  </w:style>
  <w:style w:type="paragraph" w:styleId="Footer">
    <w:name w:val="footer"/>
    <w:basedOn w:val="Normal"/>
    <w:link w:val="FooterChar"/>
    <w:uiPriority w:val="99"/>
    <w:semiHidden/>
    <w:unhideWhenUsed/>
    <w:rsid w:val="0059282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92824"/>
    <w:rPr>
      <w:rFonts w:ascii="Cambria Math" w:hAnsi="Cambria Math" w:cstheme="majorBidi"/>
      <w:sz w:val="24"/>
      <w:szCs w:val="24"/>
    </w:rPr>
  </w:style>
  <w:style w:type="table" w:styleId="TableGrid">
    <w:name w:val="Table Grid"/>
    <w:basedOn w:val="TableNormal"/>
    <w:uiPriority w:val="59"/>
    <w:rsid w:val="00592824"/>
    <w:pPr>
      <w:spacing w:after="0" w:line="240" w:lineRule="auto"/>
    </w:pPr>
    <w:rPr>
      <w:rFonts w:ascii="Cambria Math" w:hAnsi="Cambria Math" w:cstheme="maj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92824"/>
    <w:pPr>
      <w:bidi w:val="0"/>
      <w:outlineLvl w:val="9"/>
    </w:pPr>
  </w:style>
  <w:style w:type="paragraph" w:styleId="TOC1">
    <w:name w:val="toc 1"/>
    <w:basedOn w:val="Normal"/>
    <w:next w:val="Normal"/>
    <w:autoRedefine/>
    <w:uiPriority w:val="39"/>
    <w:unhideWhenUsed/>
    <w:qFormat/>
    <w:rsid w:val="00592824"/>
    <w:pPr>
      <w:tabs>
        <w:tab w:val="left" w:pos="284"/>
        <w:tab w:val="right" w:pos="8296"/>
      </w:tabs>
      <w:bidi w:val="0"/>
      <w:spacing w:before="360" w:after="0"/>
    </w:pPr>
    <w:rPr>
      <w:rFonts w:asciiTheme="majorHAnsi" w:hAnsiTheme="majorHAnsi" w:cs="Times New Roman"/>
      <w:b/>
      <w:bCs/>
      <w:caps/>
      <w:szCs w:val="28"/>
    </w:rPr>
  </w:style>
  <w:style w:type="paragraph" w:styleId="TOC2">
    <w:name w:val="toc 2"/>
    <w:basedOn w:val="Normal"/>
    <w:next w:val="Normal"/>
    <w:autoRedefine/>
    <w:uiPriority w:val="39"/>
    <w:unhideWhenUsed/>
    <w:qFormat/>
    <w:rsid w:val="00592824"/>
    <w:pPr>
      <w:tabs>
        <w:tab w:val="left" w:pos="284"/>
        <w:tab w:val="right" w:pos="8296"/>
      </w:tabs>
      <w:bidi w:val="0"/>
      <w:spacing w:before="240" w:after="0"/>
    </w:pPr>
    <w:rPr>
      <w:rFonts w:asciiTheme="minorHAnsi" w:hAnsiTheme="minorHAnsi" w:cs="Times New Roman"/>
      <w:b/>
      <w:bCs/>
      <w:sz w:val="20"/>
    </w:rPr>
  </w:style>
  <w:style w:type="character" w:styleId="Hyperlink">
    <w:name w:val="Hyperlink"/>
    <w:basedOn w:val="DefaultParagraphFont"/>
    <w:uiPriority w:val="99"/>
    <w:unhideWhenUsed/>
    <w:rsid w:val="00592824"/>
    <w:rPr>
      <w:color w:val="0000FF" w:themeColor="hyperlink"/>
      <w:u w:val="single"/>
    </w:rPr>
  </w:style>
  <w:style w:type="paragraph" w:styleId="TOC3">
    <w:name w:val="toc 3"/>
    <w:basedOn w:val="Normal"/>
    <w:next w:val="Normal"/>
    <w:autoRedefine/>
    <w:uiPriority w:val="39"/>
    <w:unhideWhenUsed/>
    <w:qFormat/>
    <w:rsid w:val="00592824"/>
    <w:pPr>
      <w:spacing w:after="0"/>
      <w:ind w:left="240"/>
    </w:pPr>
    <w:rPr>
      <w:rFonts w:asciiTheme="minorHAnsi" w:hAnsiTheme="minorHAnsi" w:cs="Times New Roman"/>
      <w:sz w:val="20"/>
    </w:rPr>
  </w:style>
  <w:style w:type="paragraph" w:styleId="TOC4">
    <w:name w:val="toc 4"/>
    <w:basedOn w:val="Normal"/>
    <w:next w:val="Normal"/>
    <w:autoRedefine/>
    <w:uiPriority w:val="39"/>
    <w:unhideWhenUsed/>
    <w:rsid w:val="00592824"/>
    <w:pPr>
      <w:spacing w:after="0"/>
      <w:ind w:left="480"/>
    </w:pPr>
    <w:rPr>
      <w:rFonts w:asciiTheme="minorHAnsi" w:hAnsiTheme="minorHAnsi" w:cs="Times New Roman"/>
      <w:sz w:val="20"/>
    </w:rPr>
  </w:style>
  <w:style w:type="paragraph" w:styleId="TOC5">
    <w:name w:val="toc 5"/>
    <w:basedOn w:val="Normal"/>
    <w:next w:val="Normal"/>
    <w:autoRedefine/>
    <w:uiPriority w:val="39"/>
    <w:unhideWhenUsed/>
    <w:rsid w:val="00592824"/>
    <w:pPr>
      <w:spacing w:after="0"/>
      <w:ind w:left="720"/>
    </w:pPr>
    <w:rPr>
      <w:rFonts w:asciiTheme="minorHAnsi" w:hAnsiTheme="minorHAnsi" w:cs="Times New Roman"/>
      <w:sz w:val="20"/>
    </w:rPr>
  </w:style>
  <w:style w:type="paragraph" w:styleId="TOC6">
    <w:name w:val="toc 6"/>
    <w:basedOn w:val="Normal"/>
    <w:next w:val="Normal"/>
    <w:autoRedefine/>
    <w:uiPriority w:val="39"/>
    <w:unhideWhenUsed/>
    <w:rsid w:val="00592824"/>
    <w:pPr>
      <w:spacing w:after="0"/>
      <w:ind w:left="960"/>
    </w:pPr>
    <w:rPr>
      <w:rFonts w:asciiTheme="minorHAnsi" w:hAnsiTheme="minorHAnsi" w:cs="Times New Roman"/>
      <w:sz w:val="20"/>
    </w:rPr>
  </w:style>
  <w:style w:type="paragraph" w:styleId="TOC7">
    <w:name w:val="toc 7"/>
    <w:basedOn w:val="Normal"/>
    <w:next w:val="Normal"/>
    <w:autoRedefine/>
    <w:uiPriority w:val="39"/>
    <w:unhideWhenUsed/>
    <w:rsid w:val="00592824"/>
    <w:pPr>
      <w:spacing w:after="0"/>
      <w:ind w:left="1200"/>
    </w:pPr>
    <w:rPr>
      <w:rFonts w:asciiTheme="minorHAnsi" w:hAnsiTheme="minorHAnsi" w:cs="Times New Roman"/>
      <w:sz w:val="20"/>
    </w:rPr>
  </w:style>
  <w:style w:type="paragraph" w:styleId="TOC8">
    <w:name w:val="toc 8"/>
    <w:basedOn w:val="Normal"/>
    <w:next w:val="Normal"/>
    <w:autoRedefine/>
    <w:uiPriority w:val="39"/>
    <w:unhideWhenUsed/>
    <w:rsid w:val="00592824"/>
    <w:pPr>
      <w:spacing w:after="0"/>
      <w:ind w:left="1440"/>
    </w:pPr>
    <w:rPr>
      <w:rFonts w:asciiTheme="minorHAnsi" w:hAnsiTheme="minorHAnsi" w:cs="Times New Roman"/>
      <w:sz w:val="20"/>
    </w:rPr>
  </w:style>
  <w:style w:type="paragraph" w:styleId="TOC9">
    <w:name w:val="toc 9"/>
    <w:basedOn w:val="Normal"/>
    <w:next w:val="Normal"/>
    <w:autoRedefine/>
    <w:uiPriority w:val="39"/>
    <w:unhideWhenUsed/>
    <w:rsid w:val="00592824"/>
    <w:pPr>
      <w:spacing w:after="0"/>
      <w:ind w:left="1680"/>
    </w:pPr>
    <w:rPr>
      <w:rFonts w:asciiTheme="minorHAnsi" w:hAnsiTheme="minorHAnsi" w:cs="Times New Roman"/>
      <w:sz w:val="20"/>
    </w:rPr>
  </w:style>
  <w:style w:type="character" w:styleId="CommentReference">
    <w:name w:val="annotation reference"/>
    <w:basedOn w:val="DefaultParagraphFont"/>
    <w:uiPriority w:val="99"/>
    <w:semiHidden/>
    <w:unhideWhenUsed/>
    <w:rsid w:val="00592824"/>
    <w:rPr>
      <w:sz w:val="16"/>
      <w:szCs w:val="16"/>
    </w:rPr>
  </w:style>
  <w:style w:type="paragraph" w:styleId="CommentText">
    <w:name w:val="annotation text"/>
    <w:basedOn w:val="Normal"/>
    <w:link w:val="CommentTextChar"/>
    <w:uiPriority w:val="99"/>
    <w:semiHidden/>
    <w:unhideWhenUsed/>
    <w:rsid w:val="00592824"/>
    <w:pPr>
      <w:spacing w:line="240" w:lineRule="auto"/>
    </w:pPr>
    <w:rPr>
      <w:sz w:val="20"/>
      <w:szCs w:val="20"/>
    </w:rPr>
  </w:style>
  <w:style w:type="character" w:customStyle="1" w:styleId="CommentTextChar">
    <w:name w:val="Comment Text Char"/>
    <w:basedOn w:val="DefaultParagraphFont"/>
    <w:link w:val="CommentText"/>
    <w:uiPriority w:val="99"/>
    <w:semiHidden/>
    <w:rsid w:val="00592824"/>
    <w:rPr>
      <w:rFonts w:ascii="Cambria Math" w:hAnsi="Cambria Math" w:cstheme="majorBidi"/>
      <w:sz w:val="20"/>
      <w:szCs w:val="20"/>
    </w:rPr>
  </w:style>
  <w:style w:type="paragraph" w:styleId="CommentSubject">
    <w:name w:val="annotation subject"/>
    <w:basedOn w:val="CommentText"/>
    <w:next w:val="CommentText"/>
    <w:link w:val="CommentSubjectChar"/>
    <w:uiPriority w:val="99"/>
    <w:semiHidden/>
    <w:unhideWhenUsed/>
    <w:rsid w:val="00592824"/>
    <w:rPr>
      <w:b/>
      <w:bCs/>
    </w:rPr>
  </w:style>
  <w:style w:type="character" w:customStyle="1" w:styleId="CommentSubjectChar">
    <w:name w:val="Comment Subject Char"/>
    <w:basedOn w:val="CommentTextChar"/>
    <w:link w:val="CommentSubject"/>
    <w:uiPriority w:val="99"/>
    <w:semiHidden/>
    <w:rsid w:val="00592824"/>
    <w:rPr>
      <w:rFonts w:ascii="Cambria Math" w:hAnsi="Cambria Math" w:cstheme="majorBidi"/>
      <w:b/>
      <w:bCs/>
      <w:sz w:val="20"/>
      <w:szCs w:val="20"/>
    </w:rPr>
  </w:style>
  <w:style w:type="paragraph" w:styleId="FootnoteText">
    <w:name w:val="footnote text"/>
    <w:basedOn w:val="Normal"/>
    <w:link w:val="FootnoteTextChar"/>
    <w:uiPriority w:val="99"/>
    <w:semiHidden/>
    <w:unhideWhenUsed/>
    <w:rsid w:val="00592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824"/>
    <w:rPr>
      <w:rFonts w:ascii="Cambria Math" w:hAnsi="Cambria Math" w:cstheme="majorBidi"/>
      <w:sz w:val="20"/>
      <w:szCs w:val="20"/>
    </w:rPr>
  </w:style>
  <w:style w:type="character" w:styleId="FootnoteReference">
    <w:name w:val="footnote reference"/>
    <w:basedOn w:val="DefaultParagraphFont"/>
    <w:uiPriority w:val="99"/>
    <w:semiHidden/>
    <w:unhideWhenUsed/>
    <w:rsid w:val="00592824"/>
    <w:rPr>
      <w:vertAlign w:val="superscript"/>
    </w:rPr>
  </w:style>
  <w:style w:type="paragraph" w:styleId="Revision">
    <w:name w:val="Revision"/>
    <w:hidden/>
    <w:uiPriority w:val="99"/>
    <w:semiHidden/>
    <w:rsid w:val="00592824"/>
    <w:pPr>
      <w:spacing w:after="0" w:line="240" w:lineRule="auto"/>
    </w:pPr>
    <w:rPr>
      <w:rFonts w:ascii="Cambria Math" w:hAnsi="Cambria Math"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24"/>
    <w:pPr>
      <w:bidi/>
    </w:pPr>
    <w:rPr>
      <w:rFonts w:ascii="Cambria Math" w:hAnsi="Cambria Math" w:cstheme="majorBidi"/>
      <w:sz w:val="24"/>
      <w:szCs w:val="24"/>
    </w:rPr>
  </w:style>
  <w:style w:type="paragraph" w:styleId="Heading1">
    <w:name w:val="heading 1"/>
    <w:basedOn w:val="Normal"/>
    <w:next w:val="Normal"/>
    <w:link w:val="Heading1Char"/>
    <w:uiPriority w:val="9"/>
    <w:qFormat/>
    <w:rsid w:val="00592824"/>
    <w:pPr>
      <w:keepNext/>
      <w:keepLines/>
      <w:spacing w:before="480" w:after="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82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92824"/>
    <w:pPr>
      <w:ind w:left="720"/>
      <w:contextualSpacing/>
    </w:pPr>
  </w:style>
  <w:style w:type="character" w:styleId="Emphasis">
    <w:name w:val="Emphasis"/>
    <w:basedOn w:val="DefaultParagraphFont"/>
    <w:uiPriority w:val="20"/>
    <w:qFormat/>
    <w:rsid w:val="00592824"/>
    <w:rPr>
      <w:i/>
      <w:iCs/>
    </w:rPr>
  </w:style>
  <w:style w:type="paragraph" w:styleId="BalloonText">
    <w:name w:val="Balloon Text"/>
    <w:basedOn w:val="Normal"/>
    <w:link w:val="BalloonTextChar"/>
    <w:uiPriority w:val="99"/>
    <w:semiHidden/>
    <w:unhideWhenUsed/>
    <w:rsid w:val="0059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824"/>
    <w:rPr>
      <w:rFonts w:ascii="Tahoma" w:hAnsi="Tahoma" w:cs="Tahoma"/>
      <w:sz w:val="16"/>
      <w:szCs w:val="16"/>
    </w:rPr>
  </w:style>
  <w:style w:type="table" w:customStyle="1" w:styleId="LightShading-Accent11">
    <w:name w:val="Light Shading - Accent 11"/>
    <w:basedOn w:val="TableNormal"/>
    <w:uiPriority w:val="60"/>
    <w:rsid w:val="00592824"/>
    <w:pPr>
      <w:spacing w:after="0" w:line="240" w:lineRule="auto"/>
    </w:pPr>
    <w:rPr>
      <w:rFonts w:ascii="Cambria Math" w:hAnsi="Cambria Math" w:cstheme="majorBidi"/>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592824"/>
    <w:rPr>
      <w:color w:val="808080"/>
    </w:rPr>
  </w:style>
  <w:style w:type="paragraph" w:styleId="Header">
    <w:name w:val="header"/>
    <w:basedOn w:val="Normal"/>
    <w:link w:val="HeaderChar"/>
    <w:uiPriority w:val="99"/>
    <w:semiHidden/>
    <w:unhideWhenUsed/>
    <w:rsid w:val="0059282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92824"/>
    <w:rPr>
      <w:rFonts w:ascii="Cambria Math" w:hAnsi="Cambria Math" w:cstheme="majorBidi"/>
      <w:sz w:val="24"/>
      <w:szCs w:val="24"/>
    </w:rPr>
  </w:style>
  <w:style w:type="paragraph" w:styleId="Footer">
    <w:name w:val="footer"/>
    <w:basedOn w:val="Normal"/>
    <w:link w:val="FooterChar"/>
    <w:uiPriority w:val="99"/>
    <w:semiHidden/>
    <w:unhideWhenUsed/>
    <w:rsid w:val="0059282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592824"/>
    <w:rPr>
      <w:rFonts w:ascii="Cambria Math" w:hAnsi="Cambria Math" w:cstheme="majorBidi"/>
      <w:sz w:val="24"/>
      <w:szCs w:val="24"/>
    </w:rPr>
  </w:style>
  <w:style w:type="table" w:styleId="TableGrid">
    <w:name w:val="Table Grid"/>
    <w:basedOn w:val="TableNormal"/>
    <w:uiPriority w:val="59"/>
    <w:rsid w:val="00592824"/>
    <w:pPr>
      <w:spacing w:after="0" w:line="240" w:lineRule="auto"/>
    </w:pPr>
    <w:rPr>
      <w:rFonts w:ascii="Cambria Math" w:hAnsi="Cambria Math" w:cstheme="maj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92824"/>
    <w:pPr>
      <w:bidi w:val="0"/>
      <w:outlineLvl w:val="9"/>
    </w:pPr>
  </w:style>
  <w:style w:type="paragraph" w:styleId="TOC1">
    <w:name w:val="toc 1"/>
    <w:basedOn w:val="Normal"/>
    <w:next w:val="Normal"/>
    <w:autoRedefine/>
    <w:uiPriority w:val="39"/>
    <w:unhideWhenUsed/>
    <w:qFormat/>
    <w:rsid w:val="00592824"/>
    <w:pPr>
      <w:tabs>
        <w:tab w:val="left" w:pos="284"/>
        <w:tab w:val="right" w:pos="8296"/>
      </w:tabs>
      <w:bidi w:val="0"/>
      <w:spacing w:before="360" w:after="0"/>
    </w:pPr>
    <w:rPr>
      <w:rFonts w:asciiTheme="majorHAnsi" w:hAnsiTheme="majorHAnsi" w:cs="Times New Roman"/>
      <w:b/>
      <w:bCs/>
      <w:caps/>
      <w:szCs w:val="28"/>
    </w:rPr>
  </w:style>
  <w:style w:type="paragraph" w:styleId="TOC2">
    <w:name w:val="toc 2"/>
    <w:basedOn w:val="Normal"/>
    <w:next w:val="Normal"/>
    <w:autoRedefine/>
    <w:uiPriority w:val="39"/>
    <w:unhideWhenUsed/>
    <w:qFormat/>
    <w:rsid w:val="00592824"/>
    <w:pPr>
      <w:tabs>
        <w:tab w:val="left" w:pos="284"/>
        <w:tab w:val="right" w:pos="8296"/>
      </w:tabs>
      <w:bidi w:val="0"/>
      <w:spacing w:before="240" w:after="0"/>
    </w:pPr>
    <w:rPr>
      <w:rFonts w:asciiTheme="minorHAnsi" w:hAnsiTheme="minorHAnsi" w:cs="Times New Roman"/>
      <w:b/>
      <w:bCs/>
      <w:sz w:val="20"/>
    </w:rPr>
  </w:style>
  <w:style w:type="character" w:styleId="Hyperlink">
    <w:name w:val="Hyperlink"/>
    <w:basedOn w:val="DefaultParagraphFont"/>
    <w:uiPriority w:val="99"/>
    <w:unhideWhenUsed/>
    <w:rsid w:val="00592824"/>
    <w:rPr>
      <w:color w:val="0000FF" w:themeColor="hyperlink"/>
      <w:u w:val="single"/>
    </w:rPr>
  </w:style>
  <w:style w:type="paragraph" w:styleId="TOC3">
    <w:name w:val="toc 3"/>
    <w:basedOn w:val="Normal"/>
    <w:next w:val="Normal"/>
    <w:autoRedefine/>
    <w:uiPriority w:val="39"/>
    <w:unhideWhenUsed/>
    <w:qFormat/>
    <w:rsid w:val="00592824"/>
    <w:pPr>
      <w:spacing w:after="0"/>
      <w:ind w:left="240"/>
    </w:pPr>
    <w:rPr>
      <w:rFonts w:asciiTheme="minorHAnsi" w:hAnsiTheme="minorHAnsi" w:cs="Times New Roman"/>
      <w:sz w:val="20"/>
    </w:rPr>
  </w:style>
  <w:style w:type="paragraph" w:styleId="TOC4">
    <w:name w:val="toc 4"/>
    <w:basedOn w:val="Normal"/>
    <w:next w:val="Normal"/>
    <w:autoRedefine/>
    <w:uiPriority w:val="39"/>
    <w:unhideWhenUsed/>
    <w:rsid w:val="00592824"/>
    <w:pPr>
      <w:spacing w:after="0"/>
      <w:ind w:left="480"/>
    </w:pPr>
    <w:rPr>
      <w:rFonts w:asciiTheme="minorHAnsi" w:hAnsiTheme="minorHAnsi" w:cs="Times New Roman"/>
      <w:sz w:val="20"/>
    </w:rPr>
  </w:style>
  <w:style w:type="paragraph" w:styleId="TOC5">
    <w:name w:val="toc 5"/>
    <w:basedOn w:val="Normal"/>
    <w:next w:val="Normal"/>
    <w:autoRedefine/>
    <w:uiPriority w:val="39"/>
    <w:unhideWhenUsed/>
    <w:rsid w:val="00592824"/>
    <w:pPr>
      <w:spacing w:after="0"/>
      <w:ind w:left="720"/>
    </w:pPr>
    <w:rPr>
      <w:rFonts w:asciiTheme="minorHAnsi" w:hAnsiTheme="minorHAnsi" w:cs="Times New Roman"/>
      <w:sz w:val="20"/>
    </w:rPr>
  </w:style>
  <w:style w:type="paragraph" w:styleId="TOC6">
    <w:name w:val="toc 6"/>
    <w:basedOn w:val="Normal"/>
    <w:next w:val="Normal"/>
    <w:autoRedefine/>
    <w:uiPriority w:val="39"/>
    <w:unhideWhenUsed/>
    <w:rsid w:val="00592824"/>
    <w:pPr>
      <w:spacing w:after="0"/>
      <w:ind w:left="960"/>
    </w:pPr>
    <w:rPr>
      <w:rFonts w:asciiTheme="minorHAnsi" w:hAnsiTheme="minorHAnsi" w:cs="Times New Roman"/>
      <w:sz w:val="20"/>
    </w:rPr>
  </w:style>
  <w:style w:type="paragraph" w:styleId="TOC7">
    <w:name w:val="toc 7"/>
    <w:basedOn w:val="Normal"/>
    <w:next w:val="Normal"/>
    <w:autoRedefine/>
    <w:uiPriority w:val="39"/>
    <w:unhideWhenUsed/>
    <w:rsid w:val="00592824"/>
    <w:pPr>
      <w:spacing w:after="0"/>
      <w:ind w:left="1200"/>
    </w:pPr>
    <w:rPr>
      <w:rFonts w:asciiTheme="minorHAnsi" w:hAnsiTheme="minorHAnsi" w:cs="Times New Roman"/>
      <w:sz w:val="20"/>
    </w:rPr>
  </w:style>
  <w:style w:type="paragraph" w:styleId="TOC8">
    <w:name w:val="toc 8"/>
    <w:basedOn w:val="Normal"/>
    <w:next w:val="Normal"/>
    <w:autoRedefine/>
    <w:uiPriority w:val="39"/>
    <w:unhideWhenUsed/>
    <w:rsid w:val="00592824"/>
    <w:pPr>
      <w:spacing w:after="0"/>
      <w:ind w:left="1440"/>
    </w:pPr>
    <w:rPr>
      <w:rFonts w:asciiTheme="minorHAnsi" w:hAnsiTheme="minorHAnsi" w:cs="Times New Roman"/>
      <w:sz w:val="20"/>
    </w:rPr>
  </w:style>
  <w:style w:type="paragraph" w:styleId="TOC9">
    <w:name w:val="toc 9"/>
    <w:basedOn w:val="Normal"/>
    <w:next w:val="Normal"/>
    <w:autoRedefine/>
    <w:uiPriority w:val="39"/>
    <w:unhideWhenUsed/>
    <w:rsid w:val="00592824"/>
    <w:pPr>
      <w:spacing w:after="0"/>
      <w:ind w:left="1680"/>
    </w:pPr>
    <w:rPr>
      <w:rFonts w:asciiTheme="minorHAnsi" w:hAnsiTheme="minorHAnsi" w:cs="Times New Roman"/>
      <w:sz w:val="20"/>
    </w:rPr>
  </w:style>
  <w:style w:type="character" w:styleId="CommentReference">
    <w:name w:val="annotation reference"/>
    <w:basedOn w:val="DefaultParagraphFont"/>
    <w:uiPriority w:val="99"/>
    <w:semiHidden/>
    <w:unhideWhenUsed/>
    <w:rsid w:val="00592824"/>
    <w:rPr>
      <w:sz w:val="16"/>
      <w:szCs w:val="16"/>
    </w:rPr>
  </w:style>
  <w:style w:type="paragraph" w:styleId="CommentText">
    <w:name w:val="annotation text"/>
    <w:basedOn w:val="Normal"/>
    <w:link w:val="CommentTextChar"/>
    <w:uiPriority w:val="99"/>
    <w:semiHidden/>
    <w:unhideWhenUsed/>
    <w:rsid w:val="00592824"/>
    <w:pPr>
      <w:spacing w:line="240" w:lineRule="auto"/>
    </w:pPr>
    <w:rPr>
      <w:sz w:val="20"/>
      <w:szCs w:val="20"/>
    </w:rPr>
  </w:style>
  <w:style w:type="character" w:customStyle="1" w:styleId="CommentTextChar">
    <w:name w:val="Comment Text Char"/>
    <w:basedOn w:val="DefaultParagraphFont"/>
    <w:link w:val="CommentText"/>
    <w:uiPriority w:val="99"/>
    <w:semiHidden/>
    <w:rsid w:val="00592824"/>
    <w:rPr>
      <w:rFonts w:ascii="Cambria Math" w:hAnsi="Cambria Math" w:cstheme="majorBidi"/>
      <w:sz w:val="20"/>
      <w:szCs w:val="20"/>
    </w:rPr>
  </w:style>
  <w:style w:type="paragraph" w:styleId="CommentSubject">
    <w:name w:val="annotation subject"/>
    <w:basedOn w:val="CommentText"/>
    <w:next w:val="CommentText"/>
    <w:link w:val="CommentSubjectChar"/>
    <w:uiPriority w:val="99"/>
    <w:semiHidden/>
    <w:unhideWhenUsed/>
    <w:rsid w:val="00592824"/>
    <w:rPr>
      <w:b/>
      <w:bCs/>
    </w:rPr>
  </w:style>
  <w:style w:type="character" w:customStyle="1" w:styleId="CommentSubjectChar">
    <w:name w:val="Comment Subject Char"/>
    <w:basedOn w:val="CommentTextChar"/>
    <w:link w:val="CommentSubject"/>
    <w:uiPriority w:val="99"/>
    <w:semiHidden/>
    <w:rsid w:val="00592824"/>
    <w:rPr>
      <w:rFonts w:ascii="Cambria Math" w:hAnsi="Cambria Math" w:cstheme="majorBidi"/>
      <w:b/>
      <w:bCs/>
      <w:sz w:val="20"/>
      <w:szCs w:val="20"/>
    </w:rPr>
  </w:style>
  <w:style w:type="paragraph" w:styleId="FootnoteText">
    <w:name w:val="footnote text"/>
    <w:basedOn w:val="Normal"/>
    <w:link w:val="FootnoteTextChar"/>
    <w:uiPriority w:val="99"/>
    <w:semiHidden/>
    <w:unhideWhenUsed/>
    <w:rsid w:val="00592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824"/>
    <w:rPr>
      <w:rFonts w:ascii="Cambria Math" w:hAnsi="Cambria Math" w:cstheme="majorBidi"/>
      <w:sz w:val="20"/>
      <w:szCs w:val="20"/>
    </w:rPr>
  </w:style>
  <w:style w:type="character" w:styleId="FootnoteReference">
    <w:name w:val="footnote reference"/>
    <w:basedOn w:val="DefaultParagraphFont"/>
    <w:uiPriority w:val="99"/>
    <w:semiHidden/>
    <w:unhideWhenUsed/>
    <w:rsid w:val="00592824"/>
    <w:rPr>
      <w:vertAlign w:val="superscript"/>
    </w:rPr>
  </w:style>
  <w:style w:type="paragraph" w:styleId="Revision">
    <w:name w:val="Revision"/>
    <w:hidden/>
    <w:uiPriority w:val="99"/>
    <w:semiHidden/>
    <w:rsid w:val="00592824"/>
    <w:pPr>
      <w:spacing w:after="0" w:line="240" w:lineRule="auto"/>
    </w:pPr>
    <w:rPr>
      <w:rFonts w:ascii="Cambria Math" w:hAnsi="Cambria Math"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http://www.uop.edu.jo/faculties/memberresume.aspx?mid=341&amp;f=3&amp;lang=en&amp;location=faculti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Competitiveness\MENA%20trade-world%20tra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Competitiveness\Merchandise%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Competitiveness\figure%20on%20page%203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Competitiveness\Merchandise%20cha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Competitiveness\merchandandservicesexports-men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Competitiveness\merchandandservicesexports-men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Competitiveness\services%20imports-me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a:t>Figure 1: Share</a:t>
            </a:r>
            <a:r>
              <a:rPr lang="en-US" sz="1400" b="0" baseline="0"/>
              <a:t> of MENA Trade from World Trade</a:t>
            </a:r>
          </a:p>
        </c:rich>
      </c:tx>
      <c:overlay val="0"/>
    </c:title>
    <c:autoTitleDeleted val="0"/>
    <c:plotArea>
      <c:layout/>
      <c:lineChart>
        <c:grouping val="standard"/>
        <c:varyColors val="0"/>
        <c:ser>
          <c:idx val="0"/>
          <c:order val="0"/>
          <c:tx>
            <c:strRef>
              <c:f>us_merchandandservices!$D$4</c:f>
              <c:strCache>
                <c:ptCount val="1"/>
                <c:pt idx="0">
                  <c:v>Exports</c:v>
                </c:pt>
              </c:strCache>
            </c:strRef>
          </c:tx>
          <c:marker>
            <c:symbol val="none"/>
          </c:marker>
          <c:cat>
            <c:strRef>
              <c:f>us_merchandandservices!$B$6:$R$6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us_merchandandservices!$B$29:$R$29</c:f>
              <c:numCache>
                <c:formatCode>0.0%</c:formatCode>
                <c:ptCount val="17"/>
                <c:pt idx="0">
                  <c:v>2.263721891765064E-2</c:v>
                </c:pt>
                <c:pt idx="1">
                  <c:v>2.1864407232257903E-2</c:v>
                </c:pt>
                <c:pt idx="2">
                  <c:v>2.4631288955212827E-2</c:v>
                </c:pt>
                <c:pt idx="3">
                  <c:v>2.3996066244639538E-2</c:v>
                </c:pt>
                <c:pt idx="4">
                  <c:v>2.3304352062387807E-2</c:v>
                </c:pt>
                <c:pt idx="5">
                  <c:v>2.7298169896862512E-2</c:v>
                </c:pt>
                <c:pt idx="6">
                  <c:v>3.4163750336421807E-2</c:v>
                </c:pt>
                <c:pt idx="7">
                  <c:v>3.2822114832056201E-2</c:v>
                </c:pt>
                <c:pt idx="8">
                  <c:v>3.3250454001804909E-2</c:v>
                </c:pt>
                <c:pt idx="9">
                  <c:v>3.6071684743156016E-2</c:v>
                </c:pt>
                <c:pt idx="10">
                  <c:v>3.8896598404706842E-2</c:v>
                </c:pt>
                <c:pt idx="11">
                  <c:v>4.8523041385673364E-2</c:v>
                </c:pt>
                <c:pt idx="12">
                  <c:v>5.0954478435914587E-2</c:v>
                </c:pt>
                <c:pt idx="13">
                  <c:v>5.0764467273262122E-2</c:v>
                </c:pt>
                <c:pt idx="14">
                  <c:v>5.9316015499042259E-2</c:v>
                </c:pt>
                <c:pt idx="15">
                  <c:v>5.0453844804553512E-2</c:v>
                </c:pt>
                <c:pt idx="16">
                  <c:v>4.993338423188242E-2</c:v>
                </c:pt>
              </c:numCache>
            </c:numRef>
          </c:val>
          <c:smooth val="0"/>
        </c:ser>
        <c:ser>
          <c:idx val="1"/>
          <c:order val="1"/>
          <c:tx>
            <c:v>Imports</c:v>
          </c:tx>
          <c:marker>
            <c:symbol val="none"/>
          </c:marker>
          <c:cat>
            <c:strRef>
              <c:f>us_merchandandservices!$B$6:$R$6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us_merchandandservices!$B$52:$R$52</c:f>
              <c:numCache>
                <c:formatCode>0.0%</c:formatCode>
                <c:ptCount val="17"/>
                <c:pt idx="0">
                  <c:v>2.3735248656877123E-2</c:v>
                </c:pt>
                <c:pt idx="1">
                  <c:v>2.2287682743200088E-2</c:v>
                </c:pt>
                <c:pt idx="2">
                  <c:v>2.3230381042112822E-2</c:v>
                </c:pt>
                <c:pt idx="3">
                  <c:v>2.3011270938956611E-2</c:v>
                </c:pt>
                <c:pt idx="4">
                  <c:v>2.7489698956850807E-2</c:v>
                </c:pt>
                <c:pt idx="5">
                  <c:v>2.7040637176053497E-2</c:v>
                </c:pt>
                <c:pt idx="6">
                  <c:v>2.584882619986021E-2</c:v>
                </c:pt>
                <c:pt idx="7">
                  <c:v>2.7324084892763868E-2</c:v>
                </c:pt>
                <c:pt idx="8">
                  <c:v>2.9569181243210348E-2</c:v>
                </c:pt>
                <c:pt idx="9">
                  <c:v>2.9043571095821452E-2</c:v>
                </c:pt>
                <c:pt idx="10">
                  <c:v>3.0830406466191299E-2</c:v>
                </c:pt>
                <c:pt idx="11">
                  <c:v>3.502041475303138E-2</c:v>
                </c:pt>
                <c:pt idx="12">
                  <c:v>3.5791472855696206E-2</c:v>
                </c:pt>
                <c:pt idx="13">
                  <c:v>4.0051422464507387E-2</c:v>
                </c:pt>
                <c:pt idx="14">
                  <c:v>4.5923343372693846E-2</c:v>
                </c:pt>
                <c:pt idx="15">
                  <c:v>4.8722526050834998E-2</c:v>
                </c:pt>
                <c:pt idx="16">
                  <c:v>4.4064227677043009E-2</c:v>
                </c:pt>
              </c:numCache>
            </c:numRef>
          </c:val>
          <c:smooth val="0"/>
        </c:ser>
        <c:dLbls>
          <c:showLegendKey val="0"/>
          <c:showVal val="0"/>
          <c:showCatName val="0"/>
          <c:showSerName val="0"/>
          <c:showPercent val="0"/>
          <c:showBubbleSize val="0"/>
        </c:dLbls>
        <c:marker val="1"/>
        <c:smooth val="0"/>
        <c:axId val="319929344"/>
        <c:axId val="319939328"/>
      </c:lineChart>
      <c:catAx>
        <c:axId val="319929344"/>
        <c:scaling>
          <c:orientation val="minMax"/>
        </c:scaling>
        <c:delete val="0"/>
        <c:axPos val="b"/>
        <c:majorTickMark val="none"/>
        <c:minorTickMark val="none"/>
        <c:tickLblPos val="nextTo"/>
        <c:txPr>
          <a:bodyPr rot="-5400000" vert="horz"/>
          <a:lstStyle/>
          <a:p>
            <a:pPr rtl="0">
              <a:defRPr lang="en-US"/>
            </a:pPr>
            <a:endParaRPr lang="en-US"/>
          </a:p>
        </c:txPr>
        <c:crossAx val="319939328"/>
        <c:crosses val="autoZero"/>
        <c:auto val="1"/>
        <c:lblAlgn val="ctr"/>
        <c:lblOffset val="100"/>
        <c:noMultiLvlLbl val="0"/>
      </c:catAx>
      <c:valAx>
        <c:axId val="319939328"/>
        <c:scaling>
          <c:orientation val="minMax"/>
        </c:scaling>
        <c:delete val="0"/>
        <c:axPos val="l"/>
        <c:majorGridlines/>
        <c:numFmt formatCode="0.0%" sourceLinked="1"/>
        <c:majorTickMark val="none"/>
        <c:minorTickMark val="none"/>
        <c:tickLblPos val="nextTo"/>
        <c:spPr>
          <a:ln w="9525">
            <a:noFill/>
          </a:ln>
        </c:spPr>
        <c:txPr>
          <a:bodyPr/>
          <a:lstStyle/>
          <a:p>
            <a:pPr>
              <a:defRPr lang="en-US"/>
            </a:pPr>
            <a:endParaRPr lang="en-US"/>
          </a:p>
        </c:txPr>
        <c:crossAx val="319929344"/>
        <c:crosses val="autoZero"/>
        <c:crossBetween val="between"/>
      </c:valAx>
    </c:plotArea>
    <c:legend>
      <c:legendPos val="b"/>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a:t>Figure 2: Total</a:t>
            </a:r>
            <a:r>
              <a:rPr lang="en-US" sz="1400" b="0" baseline="0"/>
              <a:t> </a:t>
            </a:r>
            <a:r>
              <a:rPr lang="en-US" sz="1400" b="0"/>
              <a:t>Trade As</a:t>
            </a:r>
            <a:r>
              <a:rPr lang="en-US" sz="1400" b="0" baseline="0"/>
              <a:t> % of GDP</a:t>
            </a:r>
            <a:endParaRPr lang="en-US" sz="1400" b="0"/>
          </a:p>
        </c:rich>
      </c:tx>
      <c:overlay val="0"/>
    </c:title>
    <c:autoTitleDeleted val="0"/>
    <c:plotArea>
      <c:layout/>
      <c:lineChart>
        <c:grouping val="standard"/>
        <c:varyColors val="0"/>
        <c:ser>
          <c:idx val="0"/>
          <c:order val="0"/>
          <c:tx>
            <c:strRef>
              <c:f>us_trademerchtotal!$A$131</c:f>
              <c:strCache>
                <c:ptCount val="1"/>
                <c:pt idx="0">
                  <c:v>MENA</c:v>
                </c:pt>
              </c:strCache>
            </c:strRef>
          </c:tx>
          <c:marker>
            <c:symbol val="none"/>
          </c:marker>
          <c:cat>
            <c:strRef>
              <c:f>us_trademerchtotal!$B$6:$R$6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us_trademerchtotal!$B$138:$R$138</c:f>
              <c:numCache>
                <c:formatCode>0.0%</c:formatCode>
                <c:ptCount val="17"/>
                <c:pt idx="0">
                  <c:v>0.53918320865187375</c:v>
                </c:pt>
                <c:pt idx="1">
                  <c:v>0.57378193279904965</c:v>
                </c:pt>
                <c:pt idx="2">
                  <c:v>0.58153054455423681</c:v>
                </c:pt>
                <c:pt idx="3">
                  <c:v>0.57594924859522589</c:v>
                </c:pt>
                <c:pt idx="4">
                  <c:v>0.5256608187106665</c:v>
                </c:pt>
                <c:pt idx="5">
                  <c:v>0.55775064762224369</c:v>
                </c:pt>
                <c:pt idx="6">
                  <c:v>0.6271081383801681</c:v>
                </c:pt>
                <c:pt idx="7">
                  <c:v>0.62403013725052403</c:v>
                </c:pt>
                <c:pt idx="8">
                  <c:v>0.63416616536707149</c:v>
                </c:pt>
                <c:pt idx="9">
                  <c:v>0.6819575205458126</c:v>
                </c:pt>
                <c:pt idx="10">
                  <c:v>0.77529180198374326</c:v>
                </c:pt>
                <c:pt idx="11">
                  <c:v>0.81817136794961676</c:v>
                </c:pt>
                <c:pt idx="12">
                  <c:v>0.82119466761308946</c:v>
                </c:pt>
                <c:pt idx="13">
                  <c:v>0.87230056267674561</c:v>
                </c:pt>
                <c:pt idx="14">
                  <c:v>0.95384415701811265</c:v>
                </c:pt>
                <c:pt idx="15">
                  <c:v>0.81418425671815964</c:v>
                </c:pt>
                <c:pt idx="16">
                  <c:v>0.80927039209960061</c:v>
                </c:pt>
              </c:numCache>
            </c:numRef>
          </c:val>
          <c:smooth val="0"/>
        </c:ser>
        <c:ser>
          <c:idx val="1"/>
          <c:order val="1"/>
          <c:tx>
            <c:strRef>
              <c:f>us_trademerchtotal!$A$132</c:f>
              <c:strCache>
                <c:ptCount val="1"/>
                <c:pt idx="0">
                  <c:v>World</c:v>
                </c:pt>
              </c:strCache>
            </c:strRef>
          </c:tx>
          <c:marker>
            <c:symbol val="none"/>
          </c:marker>
          <c:cat>
            <c:strRef>
              <c:f>us_trademerchtotal!$B$6:$R$6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us_trademerchtotal!$B$139:$R$139</c:f>
              <c:numCache>
                <c:formatCode>0.0%</c:formatCode>
                <c:ptCount val="17"/>
                <c:pt idx="0">
                  <c:v>0.32103906656796388</c:v>
                </c:pt>
                <c:pt idx="1">
                  <c:v>0.34795150789528762</c:v>
                </c:pt>
                <c:pt idx="2">
                  <c:v>0.35690793078865574</c:v>
                </c:pt>
                <c:pt idx="3">
                  <c:v>0.37048438948919726</c:v>
                </c:pt>
                <c:pt idx="4">
                  <c:v>0.36901184785573232</c:v>
                </c:pt>
                <c:pt idx="5">
                  <c:v>0.36953606264057542</c:v>
                </c:pt>
                <c:pt idx="6">
                  <c:v>0.40662702248813321</c:v>
                </c:pt>
                <c:pt idx="7">
                  <c:v>0.39379554279559426</c:v>
                </c:pt>
                <c:pt idx="8">
                  <c:v>0.39409390704219432</c:v>
                </c:pt>
                <c:pt idx="9">
                  <c:v>0.40932764194911003</c:v>
                </c:pt>
                <c:pt idx="10">
                  <c:v>0.44238014256819175</c:v>
                </c:pt>
                <c:pt idx="11">
                  <c:v>0.46577323779005331</c:v>
                </c:pt>
                <c:pt idx="12">
                  <c:v>0.49454686323971636</c:v>
                </c:pt>
                <c:pt idx="13">
                  <c:v>0.50665196893806752</c:v>
                </c:pt>
                <c:pt idx="14">
                  <c:v>0.5329411225226397</c:v>
                </c:pt>
                <c:pt idx="15">
                  <c:v>0.43364706910646805</c:v>
                </c:pt>
                <c:pt idx="16">
                  <c:v>0.48341134542288638</c:v>
                </c:pt>
              </c:numCache>
            </c:numRef>
          </c:val>
          <c:smooth val="0"/>
        </c:ser>
        <c:ser>
          <c:idx val="2"/>
          <c:order val="2"/>
          <c:tx>
            <c:strRef>
              <c:f>us_trademerchtotal!$A$133</c:f>
              <c:strCache>
                <c:ptCount val="1"/>
                <c:pt idx="0">
                  <c:v>High-income</c:v>
                </c:pt>
              </c:strCache>
            </c:strRef>
          </c:tx>
          <c:marker>
            <c:symbol val="none"/>
          </c:marker>
          <c:cat>
            <c:strRef>
              <c:f>us_trademerchtotal!$B$6:$R$6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us_trademerchtotal!$B$140:$R$140</c:f>
              <c:numCache>
                <c:formatCode>0.0%</c:formatCode>
                <c:ptCount val="17"/>
                <c:pt idx="0">
                  <c:v>0.64545899569252962</c:v>
                </c:pt>
                <c:pt idx="1">
                  <c:v>0.73865921149406977</c:v>
                </c:pt>
                <c:pt idx="2">
                  <c:v>0.73362755520742295</c:v>
                </c:pt>
                <c:pt idx="3">
                  <c:v>0.73590532277186582</c:v>
                </c:pt>
                <c:pt idx="4">
                  <c:v>0.72275038731501162</c:v>
                </c:pt>
                <c:pt idx="5">
                  <c:v>0.71742890716226837</c:v>
                </c:pt>
                <c:pt idx="6">
                  <c:v>0.78100587091130769</c:v>
                </c:pt>
                <c:pt idx="7">
                  <c:v>0.74120164672412259</c:v>
                </c:pt>
                <c:pt idx="8">
                  <c:v>0.77996315842926267</c:v>
                </c:pt>
                <c:pt idx="9">
                  <c:v>0.82337841030774794</c:v>
                </c:pt>
                <c:pt idx="10">
                  <c:v>0.89763089464612189</c:v>
                </c:pt>
                <c:pt idx="11">
                  <c:v>0.89641314262051752</c:v>
                </c:pt>
                <c:pt idx="12">
                  <c:v>0.91954917520096358</c:v>
                </c:pt>
                <c:pt idx="13">
                  <c:v>0.92694739676767335</c:v>
                </c:pt>
                <c:pt idx="14">
                  <c:v>0.98997416915952252</c:v>
                </c:pt>
                <c:pt idx="15">
                  <c:v>0.87422796903601752</c:v>
                </c:pt>
                <c:pt idx="16">
                  <c:v>0.92343076359201259</c:v>
                </c:pt>
              </c:numCache>
            </c:numRef>
          </c:val>
          <c:smooth val="0"/>
        </c:ser>
        <c:ser>
          <c:idx val="3"/>
          <c:order val="3"/>
          <c:cat>
            <c:strRef>
              <c:f>us_trademerchtotal!$B$6:$R$6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us_trademerchtotal!$B$141:$R$141</c:f>
            </c:numRef>
          </c:val>
          <c:smooth val="0"/>
        </c:ser>
        <c:ser>
          <c:idx val="4"/>
          <c:order val="4"/>
          <c:cat>
            <c:strRef>
              <c:f>us_trademerchtotal!$B$6:$R$6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us_trademerchtotal!$B$142:$R$142</c:f>
            </c:numRef>
          </c:val>
          <c:smooth val="0"/>
        </c:ser>
        <c:ser>
          <c:idx val="5"/>
          <c:order val="5"/>
          <c:tx>
            <c:strRef>
              <c:f>us_trademerchtotal!$A$136</c:f>
              <c:strCache>
                <c:ptCount val="1"/>
                <c:pt idx="0">
                  <c:v>Middle and Low-Income</c:v>
                </c:pt>
              </c:strCache>
            </c:strRef>
          </c:tx>
          <c:marker>
            <c:symbol val="none"/>
          </c:marker>
          <c:cat>
            <c:strRef>
              <c:f>us_trademerchtotal!$B$6:$R$6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us_trademerchtotal!$B$143:$R$143</c:f>
              <c:numCache>
                <c:formatCode>0.0%</c:formatCode>
                <c:ptCount val="17"/>
                <c:pt idx="0">
                  <c:v>0.32669570369983153</c:v>
                </c:pt>
                <c:pt idx="1">
                  <c:v>0.32943336509862897</c:v>
                </c:pt>
                <c:pt idx="2">
                  <c:v>0.31990635694182495</c:v>
                </c:pt>
                <c:pt idx="3">
                  <c:v>0.33004071266584051</c:v>
                </c:pt>
                <c:pt idx="4">
                  <c:v>0.32443230603318401</c:v>
                </c:pt>
                <c:pt idx="5">
                  <c:v>0.35330539238635572</c:v>
                </c:pt>
                <c:pt idx="6">
                  <c:v>0.4037466059547889</c:v>
                </c:pt>
                <c:pt idx="7">
                  <c:v>0.40204190238117821</c:v>
                </c:pt>
                <c:pt idx="8">
                  <c:v>0.41713726547854912</c:v>
                </c:pt>
                <c:pt idx="9">
                  <c:v>0.45457819976677055</c:v>
                </c:pt>
                <c:pt idx="10">
                  <c:v>0.50278573444594699</c:v>
                </c:pt>
                <c:pt idx="11">
                  <c:v>0.5232386937822282</c:v>
                </c:pt>
                <c:pt idx="12">
                  <c:v>0.53184710630635168</c:v>
                </c:pt>
                <c:pt idx="13">
                  <c:v>0.52555917285274156</c:v>
                </c:pt>
                <c:pt idx="14">
                  <c:v>0.5423276689607065</c:v>
                </c:pt>
                <c:pt idx="15">
                  <c:v>0.42872128021194683</c:v>
                </c:pt>
                <c:pt idx="16">
                  <c:v>0.4670003649389145</c:v>
                </c:pt>
              </c:numCache>
            </c:numRef>
          </c:val>
          <c:smooth val="0"/>
        </c:ser>
        <c:dLbls>
          <c:showLegendKey val="0"/>
          <c:showVal val="0"/>
          <c:showCatName val="0"/>
          <c:showSerName val="0"/>
          <c:showPercent val="0"/>
          <c:showBubbleSize val="0"/>
        </c:dLbls>
        <c:marker val="1"/>
        <c:smooth val="0"/>
        <c:axId val="320541440"/>
        <c:axId val="320542976"/>
      </c:lineChart>
      <c:catAx>
        <c:axId val="320541440"/>
        <c:scaling>
          <c:orientation val="minMax"/>
        </c:scaling>
        <c:delete val="0"/>
        <c:axPos val="b"/>
        <c:majorTickMark val="none"/>
        <c:minorTickMark val="none"/>
        <c:tickLblPos val="nextTo"/>
        <c:txPr>
          <a:bodyPr rot="-5400000" vert="horz"/>
          <a:lstStyle/>
          <a:p>
            <a:pPr rtl="0">
              <a:defRPr lang="en-US"/>
            </a:pPr>
            <a:endParaRPr lang="en-US"/>
          </a:p>
        </c:txPr>
        <c:crossAx val="320542976"/>
        <c:crosses val="autoZero"/>
        <c:auto val="1"/>
        <c:lblAlgn val="ctr"/>
        <c:lblOffset val="100"/>
        <c:noMultiLvlLbl val="0"/>
      </c:catAx>
      <c:valAx>
        <c:axId val="320542976"/>
        <c:scaling>
          <c:orientation val="minMax"/>
        </c:scaling>
        <c:delete val="0"/>
        <c:axPos val="l"/>
        <c:majorGridlines/>
        <c:numFmt formatCode="0.0%" sourceLinked="1"/>
        <c:majorTickMark val="none"/>
        <c:minorTickMark val="none"/>
        <c:tickLblPos val="nextTo"/>
        <c:spPr>
          <a:ln w="9525">
            <a:noFill/>
          </a:ln>
        </c:spPr>
        <c:txPr>
          <a:bodyPr/>
          <a:lstStyle/>
          <a:p>
            <a:pPr>
              <a:defRPr lang="en-US"/>
            </a:pPr>
            <a:endParaRPr lang="en-US"/>
          </a:p>
        </c:txPr>
        <c:crossAx val="320541440"/>
        <c:crosses val="autoZero"/>
        <c:crossBetween val="between"/>
      </c:valAx>
    </c:plotArea>
    <c:legend>
      <c:legendPos val="b"/>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a:t>Figure 3: Share of</a:t>
            </a:r>
            <a:r>
              <a:rPr lang="en-US" sz="1400" b="0" baseline="0"/>
              <a:t> Services Trade to GDP, 2008</a:t>
            </a:r>
            <a:endParaRPr lang="en-US" sz="1400" b="0"/>
          </a:p>
        </c:rich>
      </c:tx>
      <c:overlay val="0"/>
    </c:title>
    <c:autoTitleDeleted val="0"/>
    <c:plotArea>
      <c:layout/>
      <c:barChart>
        <c:barDir val="col"/>
        <c:grouping val="clustered"/>
        <c:varyColors val="0"/>
        <c:ser>
          <c:idx val="0"/>
          <c:order val="0"/>
          <c:invertIfNegative val="0"/>
          <c:cat>
            <c:strRef>
              <c:f>'figure on page 33'!$A$29:$A$56</c:f>
              <c:strCache>
                <c:ptCount val="28"/>
                <c:pt idx="0">
                  <c:v>Middle-income</c:v>
                </c:pt>
                <c:pt idx="1">
                  <c:v>Transition economies</c:v>
                </c:pt>
                <c:pt idx="2">
                  <c:v>Developed economies</c:v>
                </c:pt>
                <c:pt idx="3">
                  <c:v>Developing economies</c:v>
                </c:pt>
                <c:pt idx="4">
                  <c:v>Low-income</c:v>
                </c:pt>
                <c:pt idx="5">
                  <c:v>High-income</c:v>
                </c:pt>
                <c:pt idx="6">
                  <c:v>MENA</c:v>
                </c:pt>
                <c:pt idx="9">
                  <c:v>Sudan</c:v>
                </c:pt>
                <c:pt idx="10">
                  <c:v>Libyan Arab Jamahiriya</c:v>
                </c:pt>
                <c:pt idx="11">
                  <c:v>Algeria</c:v>
                </c:pt>
                <c:pt idx="12">
                  <c:v>Qatar</c:v>
                </c:pt>
                <c:pt idx="13">
                  <c:v>Yemen</c:v>
                </c:pt>
                <c:pt idx="14">
                  <c:v>Oman</c:v>
                </c:pt>
                <c:pt idx="15">
                  <c:v>Syrian Arab Republic</c:v>
                </c:pt>
                <c:pt idx="16">
                  <c:v>Saudi Arabia</c:v>
                </c:pt>
                <c:pt idx="17">
                  <c:v>Kuwait</c:v>
                </c:pt>
                <c:pt idx="18">
                  <c:v>United Arab Emirates</c:v>
                </c:pt>
                <c:pt idx="19">
                  <c:v>Occupied Palestinian territory</c:v>
                </c:pt>
                <c:pt idx="20">
                  <c:v>Morocco</c:v>
                </c:pt>
                <c:pt idx="21">
                  <c:v>Tunisia</c:v>
                </c:pt>
                <c:pt idx="22">
                  <c:v>Egypt</c:v>
                </c:pt>
                <c:pt idx="23">
                  <c:v>Mauritania</c:v>
                </c:pt>
                <c:pt idx="24">
                  <c:v>Bahrain</c:v>
                </c:pt>
                <c:pt idx="25">
                  <c:v>Jordan</c:v>
                </c:pt>
                <c:pt idx="26">
                  <c:v>Iraq</c:v>
                </c:pt>
                <c:pt idx="27">
                  <c:v>Lebanon</c:v>
                </c:pt>
              </c:strCache>
            </c:strRef>
          </c:cat>
          <c:val>
            <c:numRef>
              <c:f>'figure on page 33'!$F$29:$F$56</c:f>
              <c:numCache>
                <c:formatCode>0.0%</c:formatCode>
                <c:ptCount val="28"/>
                <c:pt idx="0">
                  <c:v>8.6531623304450744E-2</c:v>
                </c:pt>
                <c:pt idx="1">
                  <c:v>0.10537715302708142</c:v>
                </c:pt>
                <c:pt idx="2">
                  <c:v>0.12374572382105339</c:v>
                </c:pt>
                <c:pt idx="3">
                  <c:v>0.12857294861568397</c:v>
                </c:pt>
                <c:pt idx="4">
                  <c:v>0.14126947290069841</c:v>
                </c:pt>
                <c:pt idx="5">
                  <c:v>0.1823848836345939</c:v>
                </c:pt>
                <c:pt idx="6">
                  <c:v>0.18798979140721209</c:v>
                </c:pt>
                <c:pt idx="9">
                  <c:v>5.0923943302047692E-2</c:v>
                </c:pt>
                <c:pt idx="10">
                  <c:v>5.5936495779836524E-2</c:v>
                </c:pt>
                <c:pt idx="11">
                  <c:v>8.5602845385582937E-2</c:v>
                </c:pt>
                <c:pt idx="12">
                  <c:v>9.6168122026933464E-2</c:v>
                </c:pt>
                <c:pt idx="13">
                  <c:v>0.12376653064457672</c:v>
                </c:pt>
                <c:pt idx="14">
                  <c:v>0.12771132731797574</c:v>
                </c:pt>
                <c:pt idx="15">
                  <c:v>0.1471889228400193</c:v>
                </c:pt>
                <c:pt idx="16">
                  <c:v>0.17807758302784971</c:v>
                </c:pt>
                <c:pt idx="17">
                  <c:v>0.18740689149848247</c:v>
                </c:pt>
                <c:pt idx="18">
                  <c:v>0.20839720281890994</c:v>
                </c:pt>
                <c:pt idx="19">
                  <c:v>0.22445024697511229</c:v>
                </c:pt>
                <c:pt idx="20">
                  <c:v>0.22626982269435855</c:v>
                </c:pt>
                <c:pt idx="21">
                  <c:v>0.22922039454383394</c:v>
                </c:pt>
                <c:pt idx="22">
                  <c:v>0.2579821008023318</c:v>
                </c:pt>
                <c:pt idx="23">
                  <c:v>0.25851692573702972</c:v>
                </c:pt>
                <c:pt idx="24">
                  <c:v>0.260494346883412</c:v>
                </c:pt>
                <c:pt idx="25">
                  <c:v>0.37908893328365417</c:v>
                </c:pt>
                <c:pt idx="26">
                  <c:v>0.40934679874079782</c:v>
                </c:pt>
                <c:pt idx="27">
                  <c:v>1.0369157211240141</c:v>
                </c:pt>
              </c:numCache>
            </c:numRef>
          </c:val>
        </c:ser>
        <c:dLbls>
          <c:showLegendKey val="0"/>
          <c:showVal val="0"/>
          <c:showCatName val="0"/>
          <c:showSerName val="0"/>
          <c:showPercent val="0"/>
          <c:showBubbleSize val="0"/>
        </c:dLbls>
        <c:gapWidth val="75"/>
        <c:overlap val="-25"/>
        <c:axId val="320563840"/>
        <c:axId val="320577920"/>
      </c:barChart>
      <c:catAx>
        <c:axId val="320563840"/>
        <c:scaling>
          <c:orientation val="minMax"/>
        </c:scaling>
        <c:delete val="0"/>
        <c:axPos val="b"/>
        <c:majorTickMark val="none"/>
        <c:minorTickMark val="none"/>
        <c:tickLblPos val="nextTo"/>
        <c:txPr>
          <a:bodyPr/>
          <a:lstStyle/>
          <a:p>
            <a:pPr>
              <a:defRPr lang="en-US"/>
            </a:pPr>
            <a:endParaRPr lang="en-US"/>
          </a:p>
        </c:txPr>
        <c:crossAx val="320577920"/>
        <c:crosses val="autoZero"/>
        <c:auto val="1"/>
        <c:lblAlgn val="ctr"/>
        <c:lblOffset val="100"/>
        <c:noMultiLvlLbl val="0"/>
      </c:catAx>
      <c:valAx>
        <c:axId val="320577920"/>
        <c:scaling>
          <c:orientation val="minMax"/>
        </c:scaling>
        <c:delete val="0"/>
        <c:axPos val="l"/>
        <c:majorGridlines/>
        <c:numFmt formatCode="0.0%" sourceLinked="1"/>
        <c:majorTickMark val="none"/>
        <c:minorTickMark val="none"/>
        <c:tickLblPos val="nextTo"/>
        <c:spPr>
          <a:ln w="9525">
            <a:noFill/>
          </a:ln>
        </c:spPr>
        <c:txPr>
          <a:bodyPr/>
          <a:lstStyle/>
          <a:p>
            <a:pPr>
              <a:defRPr lang="en-US"/>
            </a:pPr>
            <a:endParaRPr lang="en-US"/>
          </a:p>
        </c:txPr>
        <c:crossAx val="320563840"/>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a:t>Figure 4:</a:t>
            </a:r>
            <a:r>
              <a:rPr lang="en-US" sz="1400" b="0" baseline="0"/>
              <a:t> Merchandise Trade to GDP (94-97 &amp; 07-10)</a:t>
            </a:r>
            <a:endParaRPr lang="en-US" sz="1400" b="0"/>
          </a:p>
        </c:rich>
      </c:tx>
      <c:overlay val="0"/>
    </c:title>
    <c:autoTitleDeleted val="0"/>
    <c:plotArea>
      <c:layout/>
      <c:barChart>
        <c:barDir val="col"/>
        <c:grouping val="clustered"/>
        <c:varyColors val="0"/>
        <c:ser>
          <c:idx val="0"/>
          <c:order val="0"/>
          <c:tx>
            <c:v>94-97</c:v>
          </c:tx>
          <c:invertIfNegative val="0"/>
          <c:cat>
            <c:strRef>
              <c:f>Sheet1!$A$3:$A$29</c:f>
              <c:strCache>
                <c:ptCount val="27"/>
                <c:pt idx="0">
                  <c:v>Sudan</c:v>
                </c:pt>
                <c:pt idx="1">
                  <c:v>Mauritania</c:v>
                </c:pt>
                <c:pt idx="2">
                  <c:v>Egypt</c:v>
                </c:pt>
                <c:pt idx="3">
                  <c:v>Syrian Arab Republic</c:v>
                </c:pt>
                <c:pt idx="4">
                  <c:v>Yemen</c:v>
                </c:pt>
                <c:pt idx="5">
                  <c:v>Morocco</c:v>
                </c:pt>
                <c:pt idx="6">
                  <c:v>Lebanon</c:v>
                </c:pt>
                <c:pt idx="7">
                  <c:v>Algeria</c:v>
                </c:pt>
                <c:pt idx="8">
                  <c:v>Kuwait</c:v>
                </c:pt>
                <c:pt idx="9">
                  <c:v>Qatar</c:v>
                </c:pt>
                <c:pt idx="10">
                  <c:v>Saudi Arabia</c:v>
                </c:pt>
                <c:pt idx="11">
                  <c:v>Oman</c:v>
                </c:pt>
                <c:pt idx="12">
                  <c:v>Jordan</c:v>
                </c:pt>
                <c:pt idx="13">
                  <c:v>Tunisia</c:v>
                </c:pt>
                <c:pt idx="14">
                  <c:v>Libyan Arab Jamahiriya</c:v>
                </c:pt>
                <c:pt idx="15">
                  <c:v>Occupied Palestinian territory</c:v>
                </c:pt>
                <c:pt idx="16">
                  <c:v>Bahrain</c:v>
                </c:pt>
                <c:pt idx="17">
                  <c:v>United Arab Emirates</c:v>
                </c:pt>
                <c:pt idx="21">
                  <c:v>MENA</c:v>
                </c:pt>
                <c:pt idx="22">
                  <c:v>World</c:v>
                </c:pt>
                <c:pt idx="23">
                  <c:v>High-income</c:v>
                </c:pt>
                <c:pt idx="24">
                  <c:v>Middle-income developing countries</c:v>
                </c:pt>
                <c:pt idx="25">
                  <c:v>Low-income developing countries</c:v>
                </c:pt>
                <c:pt idx="26">
                  <c:v>Middle and Low-Income</c:v>
                </c:pt>
              </c:strCache>
            </c:strRef>
          </c:cat>
          <c:val>
            <c:numRef>
              <c:f>Sheet1!$G$3:$G$29</c:f>
              <c:numCache>
                <c:formatCode>0.0%</c:formatCode>
                <c:ptCount val="27"/>
                <c:pt idx="0">
                  <c:v>0.17350741224058053</c:v>
                </c:pt>
                <c:pt idx="1">
                  <c:v>0.22277959259504521</c:v>
                </c:pt>
                <c:pt idx="2">
                  <c:v>0.21392655917571601</c:v>
                </c:pt>
                <c:pt idx="3">
                  <c:v>0.59625849796915553</c:v>
                </c:pt>
                <c:pt idx="4">
                  <c:v>0.65133434783739286</c:v>
                </c:pt>
                <c:pt idx="5">
                  <c:v>0.42815217858746352</c:v>
                </c:pt>
                <c:pt idx="6">
                  <c:v>0.63380251314084923</c:v>
                </c:pt>
                <c:pt idx="7">
                  <c:v>0.46392579355435037</c:v>
                </c:pt>
                <c:pt idx="8">
                  <c:v>0.74393842296959434</c:v>
                </c:pt>
                <c:pt idx="9">
                  <c:v>0.7160678589208439</c:v>
                </c:pt>
                <c:pt idx="10">
                  <c:v>0.53791373097114759</c:v>
                </c:pt>
                <c:pt idx="11">
                  <c:v>0.77548266026076551</c:v>
                </c:pt>
                <c:pt idx="12">
                  <c:v>0.82228681235352674</c:v>
                </c:pt>
                <c:pt idx="13">
                  <c:v>0.71162411710033469</c:v>
                </c:pt>
                <c:pt idx="14">
                  <c:v>0.45891662363010632</c:v>
                </c:pt>
                <c:pt idx="15">
                  <c:v>0.53589672234886965</c:v>
                </c:pt>
                <c:pt idx="16">
                  <c:v>1.3548128208126824</c:v>
                </c:pt>
                <c:pt idx="17">
                  <c:v>1.2136438946729018</c:v>
                </c:pt>
                <c:pt idx="21">
                  <c:v>0.5687170357705541</c:v>
                </c:pt>
                <c:pt idx="22">
                  <c:v>0.34990394621854587</c:v>
                </c:pt>
                <c:pt idx="23">
                  <c:v>0.71537100415081512</c:v>
                </c:pt>
                <c:pt idx="24">
                  <c:v>0.32797875297514806</c:v>
                </c:pt>
                <c:pt idx="25">
                  <c:v>0.32241266701926785</c:v>
                </c:pt>
                <c:pt idx="26">
                  <c:v>0.32647880490341386</c:v>
                </c:pt>
              </c:numCache>
            </c:numRef>
          </c:val>
        </c:ser>
        <c:ser>
          <c:idx val="1"/>
          <c:order val="1"/>
          <c:tx>
            <c:strRef>
              <c:f>Sheet1!$C$2</c:f>
              <c:strCache>
                <c:ptCount val="1"/>
                <c:pt idx="0">
                  <c:v>07-10</c:v>
                </c:pt>
              </c:strCache>
            </c:strRef>
          </c:tx>
          <c:invertIfNegative val="0"/>
          <c:cat>
            <c:strRef>
              <c:f>Sheet1!$A$3:$A$29</c:f>
              <c:strCache>
                <c:ptCount val="27"/>
                <c:pt idx="0">
                  <c:v>Sudan</c:v>
                </c:pt>
                <c:pt idx="1">
                  <c:v>Mauritania</c:v>
                </c:pt>
                <c:pt idx="2">
                  <c:v>Egypt</c:v>
                </c:pt>
                <c:pt idx="3">
                  <c:v>Syrian Arab Republic</c:v>
                </c:pt>
                <c:pt idx="4">
                  <c:v>Yemen</c:v>
                </c:pt>
                <c:pt idx="5">
                  <c:v>Morocco</c:v>
                </c:pt>
                <c:pt idx="6">
                  <c:v>Lebanon</c:v>
                </c:pt>
                <c:pt idx="7">
                  <c:v>Algeria</c:v>
                </c:pt>
                <c:pt idx="8">
                  <c:v>Kuwait</c:v>
                </c:pt>
                <c:pt idx="9">
                  <c:v>Qatar</c:v>
                </c:pt>
                <c:pt idx="10">
                  <c:v>Saudi Arabia</c:v>
                </c:pt>
                <c:pt idx="11">
                  <c:v>Oman</c:v>
                </c:pt>
                <c:pt idx="12">
                  <c:v>Jordan</c:v>
                </c:pt>
                <c:pt idx="13">
                  <c:v>Tunisia</c:v>
                </c:pt>
                <c:pt idx="14">
                  <c:v>Libyan Arab Jamahiriya</c:v>
                </c:pt>
                <c:pt idx="15">
                  <c:v>Occupied Palestinian territory</c:v>
                </c:pt>
                <c:pt idx="16">
                  <c:v>Bahrain</c:v>
                </c:pt>
                <c:pt idx="17">
                  <c:v>United Arab Emirates</c:v>
                </c:pt>
                <c:pt idx="21">
                  <c:v>MENA</c:v>
                </c:pt>
                <c:pt idx="22">
                  <c:v>World</c:v>
                </c:pt>
                <c:pt idx="23">
                  <c:v>High-income</c:v>
                </c:pt>
                <c:pt idx="24">
                  <c:v>Middle-income developing countries</c:v>
                </c:pt>
                <c:pt idx="25">
                  <c:v>Low-income developing countries</c:v>
                </c:pt>
                <c:pt idx="26">
                  <c:v>Middle and Low-Income</c:v>
                </c:pt>
              </c:strCache>
            </c:strRef>
          </c:cat>
          <c:val>
            <c:numRef>
              <c:f>Sheet1!$H$3:$H$29</c:f>
              <c:numCache>
                <c:formatCode>0.0%</c:formatCode>
                <c:ptCount val="27"/>
                <c:pt idx="0">
                  <c:v>0.31632249833501208</c:v>
                </c:pt>
                <c:pt idx="1">
                  <c:v>0.37905400264674632</c:v>
                </c:pt>
                <c:pt idx="2">
                  <c:v>0.37983167932643835</c:v>
                </c:pt>
                <c:pt idx="3">
                  <c:v>0.58660689812421529</c:v>
                </c:pt>
                <c:pt idx="4">
                  <c:v>0.58987815876603356</c:v>
                </c:pt>
                <c:pt idx="5">
                  <c:v>0.60773029905480902</c:v>
                </c:pt>
                <c:pt idx="6">
                  <c:v>0.63338980665884437</c:v>
                </c:pt>
                <c:pt idx="7">
                  <c:v>0.64304013781284564</c:v>
                </c:pt>
                <c:pt idx="8">
                  <c:v>0.70823016221635648</c:v>
                </c:pt>
                <c:pt idx="9">
                  <c:v>0.75135598516411362</c:v>
                </c:pt>
                <c:pt idx="10">
                  <c:v>0.82832416945325937</c:v>
                </c:pt>
                <c:pt idx="11">
                  <c:v>0.92436929418858094</c:v>
                </c:pt>
                <c:pt idx="12">
                  <c:v>0.94176826099304933</c:v>
                </c:pt>
                <c:pt idx="13">
                  <c:v>0.96268523170313502</c:v>
                </c:pt>
                <c:pt idx="14">
                  <c:v>0.97349713240071345</c:v>
                </c:pt>
                <c:pt idx="15">
                  <c:v>1.0237912718443694</c:v>
                </c:pt>
                <c:pt idx="16">
                  <c:v>1.2402194152524593</c:v>
                </c:pt>
                <c:pt idx="17">
                  <c:v>1.5287006631592828</c:v>
                </c:pt>
                <c:pt idx="21">
                  <c:v>0.86278447918590562</c:v>
                </c:pt>
                <c:pt idx="22">
                  <c:v>0.48943616873811291</c:v>
                </c:pt>
                <c:pt idx="23">
                  <c:v>0.93033083794142513</c:v>
                </c:pt>
                <c:pt idx="24">
                  <c:v>0.48439052837388397</c:v>
                </c:pt>
                <c:pt idx="25">
                  <c:v>0.49648121943652734</c:v>
                </c:pt>
                <c:pt idx="26">
                  <c:v>0.48744282427269103</c:v>
                </c:pt>
              </c:numCache>
            </c:numRef>
          </c:val>
        </c:ser>
        <c:dLbls>
          <c:showLegendKey val="0"/>
          <c:showVal val="0"/>
          <c:showCatName val="0"/>
          <c:showSerName val="0"/>
          <c:showPercent val="0"/>
          <c:showBubbleSize val="0"/>
        </c:dLbls>
        <c:gapWidth val="75"/>
        <c:overlap val="-25"/>
        <c:axId val="320599168"/>
        <c:axId val="320600704"/>
      </c:barChart>
      <c:catAx>
        <c:axId val="320599168"/>
        <c:scaling>
          <c:orientation val="minMax"/>
        </c:scaling>
        <c:delete val="0"/>
        <c:axPos val="b"/>
        <c:majorTickMark val="none"/>
        <c:minorTickMark val="none"/>
        <c:tickLblPos val="nextTo"/>
        <c:txPr>
          <a:bodyPr/>
          <a:lstStyle/>
          <a:p>
            <a:pPr>
              <a:defRPr lang="en-US"/>
            </a:pPr>
            <a:endParaRPr lang="en-US"/>
          </a:p>
        </c:txPr>
        <c:crossAx val="320600704"/>
        <c:crosses val="autoZero"/>
        <c:auto val="1"/>
        <c:lblAlgn val="ctr"/>
        <c:lblOffset val="100"/>
        <c:noMultiLvlLbl val="0"/>
      </c:catAx>
      <c:valAx>
        <c:axId val="320600704"/>
        <c:scaling>
          <c:orientation val="minMax"/>
        </c:scaling>
        <c:delete val="0"/>
        <c:axPos val="l"/>
        <c:majorGridlines/>
        <c:numFmt formatCode="0.0%" sourceLinked="1"/>
        <c:majorTickMark val="none"/>
        <c:minorTickMark val="none"/>
        <c:tickLblPos val="nextTo"/>
        <c:spPr>
          <a:ln w="9525">
            <a:noFill/>
          </a:ln>
        </c:spPr>
        <c:txPr>
          <a:bodyPr/>
          <a:lstStyle/>
          <a:p>
            <a:pPr>
              <a:defRPr lang="en-US"/>
            </a:pPr>
            <a:endParaRPr lang="en-US"/>
          </a:p>
        </c:txPr>
        <c:crossAx val="320599168"/>
        <c:crosses val="autoZero"/>
        <c:crossBetween val="between"/>
      </c:valAx>
    </c:plotArea>
    <c:legend>
      <c:legendPos val="b"/>
      <c:overlay val="0"/>
      <c:txPr>
        <a:bodyPr/>
        <a:lstStyle/>
        <a:p>
          <a:pPr rtl="0">
            <a:defRPr lang="en-US"/>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i="0" baseline="0"/>
              <a:t>Figure 5: Shares of Services Trade in Total Trade, 2008</a:t>
            </a:r>
            <a:endParaRPr lang="ar-JO" sz="1400" b="0"/>
          </a:p>
        </c:rich>
      </c:tx>
      <c:overlay val="0"/>
    </c:title>
    <c:autoTitleDeleted val="0"/>
    <c:plotArea>
      <c:layout/>
      <c:barChart>
        <c:barDir val="col"/>
        <c:grouping val="clustered"/>
        <c:varyColors val="0"/>
        <c:ser>
          <c:idx val="0"/>
          <c:order val="0"/>
          <c:invertIfNegative val="0"/>
          <c:cat>
            <c:strRef>
              <c:f>'merchandandservicesexports-mena'!$G$74:$G$94</c:f>
              <c:strCache>
                <c:ptCount val="21"/>
                <c:pt idx="0">
                  <c:v>Iraq</c:v>
                </c:pt>
                <c:pt idx="1">
                  <c:v>United Arab Emirates</c:v>
                </c:pt>
                <c:pt idx="2">
                  <c:v>Algeria</c:v>
                </c:pt>
                <c:pt idx="3">
                  <c:v>Oman</c:v>
                </c:pt>
                <c:pt idx="4">
                  <c:v>Qatar</c:v>
                </c:pt>
                <c:pt idx="5">
                  <c:v>Sudan</c:v>
                </c:pt>
                <c:pt idx="6">
                  <c:v>Bahrain</c:v>
                </c:pt>
                <c:pt idx="7">
                  <c:v>Saudi Arabia</c:v>
                </c:pt>
                <c:pt idx="8">
                  <c:v>Yemen</c:v>
                </c:pt>
                <c:pt idx="9">
                  <c:v>Tunisia</c:v>
                </c:pt>
                <c:pt idx="10">
                  <c:v>Syrian Arab Republic</c:v>
                </c:pt>
                <c:pt idx="11">
                  <c:v>Mauritania</c:v>
                </c:pt>
                <c:pt idx="12">
                  <c:v>Kuwait</c:v>
                </c:pt>
                <c:pt idx="13">
                  <c:v>Morocco</c:v>
                </c:pt>
                <c:pt idx="14">
                  <c:v>Occupied Palestinian territory</c:v>
                </c:pt>
                <c:pt idx="15">
                  <c:v>Jordan</c:v>
                </c:pt>
                <c:pt idx="16">
                  <c:v>Egypt</c:v>
                </c:pt>
                <c:pt idx="17">
                  <c:v>Lebanon</c:v>
                </c:pt>
                <c:pt idx="20">
                  <c:v>MENA</c:v>
                </c:pt>
              </c:strCache>
            </c:strRef>
          </c:cat>
          <c:val>
            <c:numRef>
              <c:f>'merchandandservicesexports-mena'!$O$74:$O$94</c:f>
              <c:numCache>
                <c:formatCode>0.0%</c:formatCode>
                <c:ptCount val="21"/>
                <c:pt idx="0">
                  <c:v>9.3469696488018006E-2</c:v>
                </c:pt>
                <c:pt idx="1">
                  <c:v>0.11126595322695529</c:v>
                </c:pt>
                <c:pt idx="2">
                  <c:v>0.11193187027200252</c:v>
                </c:pt>
                <c:pt idx="3">
                  <c:v>0.11578462887187375</c:v>
                </c:pt>
                <c:pt idx="4">
                  <c:v>0.11670886908481042</c:v>
                </c:pt>
                <c:pt idx="5">
                  <c:v>0.13308560539852463</c:v>
                </c:pt>
                <c:pt idx="6">
                  <c:v>0.15943120353597895</c:v>
                </c:pt>
                <c:pt idx="7">
                  <c:v>0.16786785738095766</c:v>
                </c:pt>
                <c:pt idx="8">
                  <c:v>0.17120433752888817</c:v>
                </c:pt>
                <c:pt idx="9">
                  <c:v>0.18271975514354141</c:v>
                </c:pt>
                <c:pt idx="10">
                  <c:v>0.18402614531897643</c:v>
                </c:pt>
                <c:pt idx="11">
                  <c:v>0.19221091590991715</c:v>
                </c:pt>
                <c:pt idx="12">
                  <c:v>0.20093056936594275</c:v>
                </c:pt>
                <c:pt idx="13">
                  <c:v>0.25318083549025128</c:v>
                </c:pt>
                <c:pt idx="14">
                  <c:v>0.25753458851710875</c:v>
                </c:pt>
                <c:pt idx="15">
                  <c:v>0.27045038740704935</c:v>
                </c:pt>
                <c:pt idx="16">
                  <c:v>0.37420498994190637</c:v>
                </c:pt>
                <c:pt idx="17">
                  <c:v>0.60971607661563265</c:v>
                </c:pt>
                <c:pt idx="20">
                  <c:v>0.16862342994904167</c:v>
                </c:pt>
              </c:numCache>
            </c:numRef>
          </c:val>
        </c:ser>
        <c:dLbls>
          <c:showLegendKey val="0"/>
          <c:showVal val="0"/>
          <c:showCatName val="0"/>
          <c:showSerName val="0"/>
          <c:showPercent val="0"/>
          <c:showBubbleSize val="0"/>
        </c:dLbls>
        <c:gapWidth val="75"/>
        <c:overlap val="-25"/>
        <c:axId val="348011136"/>
        <c:axId val="348025216"/>
      </c:barChart>
      <c:catAx>
        <c:axId val="348011136"/>
        <c:scaling>
          <c:orientation val="minMax"/>
        </c:scaling>
        <c:delete val="0"/>
        <c:axPos val="b"/>
        <c:majorTickMark val="none"/>
        <c:minorTickMark val="none"/>
        <c:tickLblPos val="nextTo"/>
        <c:txPr>
          <a:bodyPr/>
          <a:lstStyle/>
          <a:p>
            <a:pPr>
              <a:defRPr lang="en-US"/>
            </a:pPr>
            <a:endParaRPr lang="en-US"/>
          </a:p>
        </c:txPr>
        <c:crossAx val="348025216"/>
        <c:crosses val="autoZero"/>
        <c:auto val="1"/>
        <c:lblAlgn val="ctr"/>
        <c:lblOffset val="100"/>
        <c:noMultiLvlLbl val="0"/>
      </c:catAx>
      <c:valAx>
        <c:axId val="348025216"/>
        <c:scaling>
          <c:orientation val="minMax"/>
        </c:scaling>
        <c:delete val="0"/>
        <c:axPos val="l"/>
        <c:majorGridlines/>
        <c:numFmt formatCode="0.0%" sourceLinked="1"/>
        <c:majorTickMark val="none"/>
        <c:minorTickMark val="none"/>
        <c:tickLblPos val="nextTo"/>
        <c:spPr>
          <a:ln w="9525">
            <a:noFill/>
          </a:ln>
        </c:spPr>
        <c:txPr>
          <a:bodyPr/>
          <a:lstStyle/>
          <a:p>
            <a:pPr>
              <a:defRPr lang="en-US"/>
            </a:pPr>
            <a:endParaRPr lang="en-US"/>
          </a:p>
        </c:txPr>
        <c:crossAx val="348011136"/>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a:t>Figure 6: Shares of Services Trade in Total Trade, 2008</a:t>
            </a:r>
          </a:p>
        </c:rich>
      </c:tx>
      <c:overlay val="0"/>
    </c:title>
    <c:autoTitleDeleted val="0"/>
    <c:plotArea>
      <c:layout/>
      <c:barChart>
        <c:barDir val="col"/>
        <c:grouping val="clustered"/>
        <c:varyColors val="0"/>
        <c:ser>
          <c:idx val="0"/>
          <c:order val="0"/>
          <c:tx>
            <c:strRef>
              <c:f>'merchandandservicesexports-mena'!$P$37</c:f>
              <c:strCache>
                <c:ptCount val="1"/>
                <c:pt idx="0">
                  <c:v>Exports Ratios</c:v>
                </c:pt>
              </c:strCache>
            </c:strRef>
          </c:tx>
          <c:invertIfNegative val="0"/>
          <c:cat>
            <c:strRef>
              <c:f>'merchandandservicesexports-mena'!$K$38:$K$58</c:f>
              <c:strCache>
                <c:ptCount val="21"/>
                <c:pt idx="0">
                  <c:v>Yemen</c:v>
                </c:pt>
                <c:pt idx="1">
                  <c:v>Tunisia</c:v>
                </c:pt>
                <c:pt idx="2">
                  <c:v>Bahrain</c:v>
                </c:pt>
                <c:pt idx="3">
                  <c:v>Morocco</c:v>
                </c:pt>
                <c:pt idx="4">
                  <c:v>Syrian Arab Republic</c:v>
                </c:pt>
                <c:pt idx="5">
                  <c:v>United Arab Emirates</c:v>
                </c:pt>
                <c:pt idx="6">
                  <c:v>Libyan Arab Jamahiriya</c:v>
                </c:pt>
                <c:pt idx="7">
                  <c:v>Iraq</c:v>
                </c:pt>
                <c:pt idx="8">
                  <c:v>Occupied Palestinian territory</c:v>
                </c:pt>
                <c:pt idx="9">
                  <c:v>Jordan</c:v>
                </c:pt>
                <c:pt idx="10">
                  <c:v>Oman</c:v>
                </c:pt>
                <c:pt idx="11">
                  <c:v>Qatar</c:v>
                </c:pt>
                <c:pt idx="12">
                  <c:v>Sudan</c:v>
                </c:pt>
                <c:pt idx="13">
                  <c:v>Algeria</c:v>
                </c:pt>
                <c:pt idx="14">
                  <c:v>Egypt</c:v>
                </c:pt>
                <c:pt idx="15">
                  <c:v>Mauritania</c:v>
                </c:pt>
                <c:pt idx="16">
                  <c:v>Kuwait</c:v>
                </c:pt>
                <c:pt idx="17">
                  <c:v>Saudi Arabia</c:v>
                </c:pt>
                <c:pt idx="18">
                  <c:v>Lebanon</c:v>
                </c:pt>
                <c:pt idx="20">
                  <c:v>MENA</c:v>
                </c:pt>
              </c:strCache>
            </c:strRef>
          </c:cat>
          <c:val>
            <c:numRef>
              <c:f>'merchandandservicesexports-mena'!$P$38:$P$58</c:f>
              <c:numCache>
                <c:formatCode>0.0%</c:formatCode>
                <c:ptCount val="21"/>
                <c:pt idx="0">
                  <c:v>0.26346509943677904</c:v>
                </c:pt>
                <c:pt idx="1">
                  <c:v>0.23738270682894838</c:v>
                </c:pt>
                <c:pt idx="2">
                  <c:v>0.17763043218127492</c:v>
                </c:pt>
                <c:pt idx="3">
                  <c:v>0.3973910879945089</c:v>
                </c:pt>
                <c:pt idx="4">
                  <c:v>0.2077039352589744</c:v>
                </c:pt>
                <c:pt idx="5">
                  <c:v>3.8565123364981864E-2</c:v>
                </c:pt>
                <c:pt idx="6">
                  <c:v>3.3514216514425096E-3</c:v>
                </c:pt>
                <c:pt idx="7">
                  <c:v>2.9964456689677208E-2</c:v>
                </c:pt>
                <c:pt idx="8">
                  <c:v>0.47043941273389572</c:v>
                </c:pt>
                <c:pt idx="9">
                  <c:v>0.36507195015868932</c:v>
                </c:pt>
                <c:pt idx="10">
                  <c:v>4.6106379884806814E-2</c:v>
                </c:pt>
                <c:pt idx="11">
                  <c:v>5.8715435921786803E-2</c:v>
                </c:pt>
                <c:pt idx="12">
                  <c:v>4.0518462685919271E-2</c:v>
                </c:pt>
                <c:pt idx="13">
                  <c:v>4.2156076003877586E-2</c:v>
                </c:pt>
                <c:pt idx="14">
                  <c:v>0.48695810251338012</c:v>
                </c:pt>
                <c:pt idx="15">
                  <c:v>4.8628718143980877E-2</c:v>
                </c:pt>
                <c:pt idx="16">
                  <c:v>0.12032970405318365</c:v>
                </c:pt>
                <c:pt idx="17">
                  <c:v>2.9023241279773477E-2</c:v>
                </c:pt>
                <c:pt idx="18">
                  <c:v>0.79781582262003503</c:v>
                </c:pt>
                <c:pt idx="20">
                  <c:v>0.11872882181697759</c:v>
                </c:pt>
              </c:numCache>
            </c:numRef>
          </c:val>
        </c:ser>
        <c:ser>
          <c:idx val="1"/>
          <c:order val="1"/>
          <c:tx>
            <c:strRef>
              <c:f>'merchandandservicesexports-mena'!$Q$37</c:f>
              <c:strCache>
                <c:ptCount val="1"/>
                <c:pt idx="0">
                  <c:v>Imports Ratios</c:v>
                </c:pt>
              </c:strCache>
            </c:strRef>
          </c:tx>
          <c:invertIfNegative val="0"/>
          <c:cat>
            <c:strRef>
              <c:f>'merchandandservicesexports-mena'!$K$38:$K$58</c:f>
              <c:strCache>
                <c:ptCount val="21"/>
                <c:pt idx="0">
                  <c:v>Yemen</c:v>
                </c:pt>
                <c:pt idx="1">
                  <c:v>Tunisia</c:v>
                </c:pt>
                <c:pt idx="2">
                  <c:v>Bahrain</c:v>
                </c:pt>
                <c:pt idx="3">
                  <c:v>Morocco</c:v>
                </c:pt>
                <c:pt idx="4">
                  <c:v>Syrian Arab Republic</c:v>
                </c:pt>
                <c:pt idx="5">
                  <c:v>United Arab Emirates</c:v>
                </c:pt>
                <c:pt idx="6">
                  <c:v>Libyan Arab Jamahiriya</c:v>
                </c:pt>
                <c:pt idx="7">
                  <c:v>Iraq</c:v>
                </c:pt>
                <c:pt idx="8">
                  <c:v>Occupied Palestinian territory</c:v>
                </c:pt>
                <c:pt idx="9">
                  <c:v>Jordan</c:v>
                </c:pt>
                <c:pt idx="10">
                  <c:v>Oman</c:v>
                </c:pt>
                <c:pt idx="11">
                  <c:v>Qatar</c:v>
                </c:pt>
                <c:pt idx="12">
                  <c:v>Sudan</c:v>
                </c:pt>
                <c:pt idx="13">
                  <c:v>Algeria</c:v>
                </c:pt>
                <c:pt idx="14">
                  <c:v>Egypt</c:v>
                </c:pt>
                <c:pt idx="15">
                  <c:v>Mauritania</c:v>
                </c:pt>
                <c:pt idx="16">
                  <c:v>Kuwait</c:v>
                </c:pt>
                <c:pt idx="17">
                  <c:v>Saudi Arabia</c:v>
                </c:pt>
                <c:pt idx="18">
                  <c:v>Lebanon</c:v>
                </c:pt>
                <c:pt idx="20">
                  <c:v>MENA</c:v>
                </c:pt>
              </c:strCache>
            </c:strRef>
          </c:cat>
          <c:val>
            <c:numRef>
              <c:f>'merchandandservicesexports-mena'!$Q$38:$Q$58</c:f>
              <c:numCache>
                <c:formatCode>0.0%</c:formatCode>
                <c:ptCount val="21"/>
                <c:pt idx="0">
                  <c:v>9.9553238849435968E-2</c:v>
                </c:pt>
                <c:pt idx="1">
                  <c:v>0.12950557642503319</c:v>
                </c:pt>
                <c:pt idx="2">
                  <c:v>0.13411510637586879</c:v>
                </c:pt>
                <c:pt idx="3">
                  <c:v>0.14657664643395169</c:v>
                </c:pt>
                <c:pt idx="4">
                  <c:v>0.16088343928239601</c:v>
                </c:pt>
                <c:pt idx="5">
                  <c:v>0.19069640794564707</c:v>
                </c:pt>
                <c:pt idx="6">
                  <c:v>0.19330133151076198</c:v>
                </c:pt>
                <c:pt idx="7">
                  <c:v>0.19616241219804695</c:v>
                </c:pt>
                <c:pt idx="8">
                  <c:v>0.20303467655243099</c:v>
                </c:pt>
                <c:pt idx="9">
                  <c:v>0.21108108022393621</c:v>
                </c:pt>
                <c:pt idx="10">
                  <c:v>0.21794996156982951</c:v>
                </c:pt>
                <c:pt idx="11">
                  <c:v>0.21957330106385892</c:v>
                </c:pt>
                <c:pt idx="12">
                  <c:v>0.23340907807824771</c:v>
                </c:pt>
                <c:pt idx="13">
                  <c:v>0.23380366444394068</c:v>
                </c:pt>
                <c:pt idx="14">
                  <c:v>0.28189463459686648</c:v>
                </c:pt>
                <c:pt idx="15">
                  <c:v>0.29822432882925237</c:v>
                </c:pt>
                <c:pt idx="16">
                  <c:v>0.40816865058627633</c:v>
                </c:pt>
                <c:pt idx="17">
                  <c:v>0.41529626371971889</c:v>
                </c:pt>
                <c:pt idx="18">
                  <c:v>0.46623837712441663</c:v>
                </c:pt>
                <c:pt idx="20">
                  <c:v>0.27569160366830719</c:v>
                </c:pt>
              </c:numCache>
            </c:numRef>
          </c:val>
        </c:ser>
        <c:dLbls>
          <c:showLegendKey val="0"/>
          <c:showVal val="0"/>
          <c:showCatName val="0"/>
          <c:showSerName val="0"/>
          <c:showPercent val="0"/>
          <c:showBubbleSize val="0"/>
        </c:dLbls>
        <c:gapWidth val="75"/>
        <c:overlap val="-25"/>
        <c:axId val="348046848"/>
        <c:axId val="348048384"/>
      </c:barChart>
      <c:catAx>
        <c:axId val="348046848"/>
        <c:scaling>
          <c:orientation val="minMax"/>
        </c:scaling>
        <c:delete val="0"/>
        <c:axPos val="b"/>
        <c:majorTickMark val="none"/>
        <c:minorTickMark val="none"/>
        <c:tickLblPos val="nextTo"/>
        <c:txPr>
          <a:bodyPr/>
          <a:lstStyle/>
          <a:p>
            <a:pPr>
              <a:defRPr lang="en-US"/>
            </a:pPr>
            <a:endParaRPr lang="en-US"/>
          </a:p>
        </c:txPr>
        <c:crossAx val="348048384"/>
        <c:crosses val="autoZero"/>
        <c:auto val="1"/>
        <c:lblAlgn val="ctr"/>
        <c:lblOffset val="100"/>
        <c:noMultiLvlLbl val="0"/>
      </c:catAx>
      <c:valAx>
        <c:axId val="348048384"/>
        <c:scaling>
          <c:orientation val="minMax"/>
        </c:scaling>
        <c:delete val="0"/>
        <c:axPos val="l"/>
        <c:majorGridlines/>
        <c:numFmt formatCode="0.0%" sourceLinked="1"/>
        <c:majorTickMark val="none"/>
        <c:minorTickMark val="none"/>
        <c:tickLblPos val="nextTo"/>
        <c:spPr>
          <a:ln w="9525">
            <a:noFill/>
          </a:ln>
        </c:spPr>
        <c:txPr>
          <a:bodyPr/>
          <a:lstStyle/>
          <a:p>
            <a:pPr>
              <a:defRPr lang="en-US"/>
            </a:pPr>
            <a:endParaRPr lang="en-US"/>
          </a:p>
        </c:txPr>
        <c:crossAx val="348046848"/>
        <c:crosses val="autoZero"/>
        <c:crossBetween val="between"/>
      </c:valAx>
    </c:plotArea>
    <c:legend>
      <c:legendPos val="b"/>
      <c:overlay val="0"/>
      <c:txPr>
        <a:bodyPr/>
        <a:lstStyle/>
        <a:p>
          <a:pPr>
            <a:defRPr lang="en-US"/>
          </a:pPr>
          <a:endParaRPr lang="en-US"/>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400" b="0"/>
              <a:t>Figure 7: Total Trade in Services</a:t>
            </a:r>
          </a:p>
        </c:rich>
      </c:tx>
      <c:overlay val="0"/>
    </c:title>
    <c:autoTitleDeleted val="0"/>
    <c:plotArea>
      <c:layout/>
      <c:lineChart>
        <c:grouping val="standard"/>
        <c:varyColors val="0"/>
        <c:ser>
          <c:idx val="0"/>
          <c:order val="0"/>
          <c:tx>
            <c:strRef>
              <c:f>'services imports-mena'!$D$4</c:f>
              <c:strCache>
                <c:ptCount val="1"/>
                <c:pt idx="0">
                  <c:v>Imports</c:v>
                </c:pt>
              </c:strCache>
            </c:strRef>
          </c:tx>
          <c:marker>
            <c:symbol val="none"/>
          </c:marker>
          <c:cat>
            <c:strRef>
              <c:f>'services imports-mena'!$B$6:$R$6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'services imports-mena'!$B$28:$R$28</c:f>
              <c:numCache>
                <c:formatCode>General</c:formatCode>
                <c:ptCount val="17"/>
                <c:pt idx="0">
                  <c:v>39957.581755101994</c:v>
                </c:pt>
                <c:pt idx="1">
                  <c:v>41549.377408163185</c:v>
                </c:pt>
                <c:pt idx="2">
                  <c:v>48329.034551020399</c:v>
                </c:pt>
                <c:pt idx="3">
                  <c:v>51889.306551020643</c:v>
                </c:pt>
                <c:pt idx="4">
                  <c:v>51589.476122449043</c:v>
                </c:pt>
                <c:pt idx="5">
                  <c:v>54310.239897959204</c:v>
                </c:pt>
                <c:pt idx="6">
                  <c:v>62393.455265306213</c:v>
                </c:pt>
                <c:pt idx="7">
                  <c:v>57414.351918367312</c:v>
                </c:pt>
                <c:pt idx="8">
                  <c:v>64843.645999999993</c:v>
                </c:pt>
                <c:pt idx="9">
                  <c:v>73395.353000000003</c:v>
                </c:pt>
                <c:pt idx="10">
                  <c:v>90421.192999999999</c:v>
                </c:pt>
                <c:pt idx="11">
                  <c:v>117675.40599999999</c:v>
                </c:pt>
                <c:pt idx="12">
                  <c:v>148369.95599999998</c:v>
                </c:pt>
                <c:pt idx="13">
                  <c:v>183676.72799999997</c:v>
                </c:pt>
                <c:pt idx="14">
                  <c:v>228000.962</c:v>
                </c:pt>
                <c:pt idx="15">
                  <c:v>206888.18099999995</c:v>
                </c:pt>
                <c:pt idx="16">
                  <c:v>215153.5603092263</c:v>
                </c:pt>
              </c:numCache>
            </c:numRef>
          </c:val>
          <c:smooth val="0"/>
        </c:ser>
        <c:ser>
          <c:idx val="2"/>
          <c:order val="1"/>
          <c:tx>
            <c:v>Exports</c:v>
          </c:tx>
          <c:marker>
            <c:symbol val="none"/>
          </c:marker>
          <c:cat>
            <c:strRef>
              <c:f>'services imports-mena'!$B$6:$R$6</c:f>
              <c:strCache>
                <c:ptCount val="17"/>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strCache>
            </c:strRef>
          </c:cat>
          <c:val>
            <c:numRef>
              <c:f>'services imports-mena'!$B$30:$R$30</c:f>
              <c:numCache>
                <c:formatCode>General</c:formatCode>
                <c:ptCount val="17"/>
                <c:pt idx="0">
                  <c:v>22377.977889473721</c:v>
                </c:pt>
                <c:pt idx="1">
                  <c:v>23787.5002736842</c:v>
                </c:pt>
                <c:pt idx="2">
                  <c:v>24963.352484210525</c:v>
                </c:pt>
                <c:pt idx="3">
                  <c:v>26574.695289473697</c:v>
                </c:pt>
                <c:pt idx="4">
                  <c:v>28365.461768421101</c:v>
                </c:pt>
                <c:pt idx="5">
                  <c:v>30992.070536841784</c:v>
                </c:pt>
                <c:pt idx="6">
                  <c:v>31350.790736842097</c:v>
                </c:pt>
                <c:pt idx="7">
                  <c:v>32086.737736842097</c:v>
                </c:pt>
                <c:pt idx="8">
                  <c:v>37999.604999999996</c:v>
                </c:pt>
                <c:pt idx="9">
                  <c:v>49408.224999999991</c:v>
                </c:pt>
                <c:pt idx="10">
                  <c:v>59656.696999999993</c:v>
                </c:pt>
                <c:pt idx="11">
                  <c:v>76525.445999999938</c:v>
                </c:pt>
                <c:pt idx="12">
                  <c:v>90123.758000000002</c:v>
                </c:pt>
                <c:pt idx="13">
                  <c:v>105576.20899999999</c:v>
                </c:pt>
                <c:pt idx="14">
                  <c:v>118298.02999999998</c:v>
                </c:pt>
                <c:pt idx="15">
                  <c:v>109796.97499999998</c:v>
                </c:pt>
                <c:pt idx="16">
                  <c:v>112282.41524978199</c:v>
                </c:pt>
              </c:numCache>
            </c:numRef>
          </c:val>
          <c:smooth val="0"/>
        </c:ser>
        <c:dLbls>
          <c:showLegendKey val="0"/>
          <c:showVal val="0"/>
          <c:showCatName val="0"/>
          <c:showSerName val="0"/>
          <c:showPercent val="0"/>
          <c:showBubbleSize val="0"/>
        </c:dLbls>
        <c:marker val="1"/>
        <c:smooth val="0"/>
        <c:axId val="349113344"/>
        <c:axId val="349115136"/>
      </c:lineChart>
      <c:catAx>
        <c:axId val="349113344"/>
        <c:scaling>
          <c:orientation val="minMax"/>
        </c:scaling>
        <c:delete val="0"/>
        <c:axPos val="b"/>
        <c:majorTickMark val="none"/>
        <c:minorTickMark val="none"/>
        <c:tickLblPos val="nextTo"/>
        <c:txPr>
          <a:bodyPr/>
          <a:lstStyle/>
          <a:p>
            <a:pPr rtl="0">
              <a:defRPr lang="en-US"/>
            </a:pPr>
            <a:endParaRPr lang="en-US"/>
          </a:p>
        </c:txPr>
        <c:crossAx val="349115136"/>
        <c:crosses val="autoZero"/>
        <c:auto val="1"/>
        <c:lblAlgn val="ctr"/>
        <c:lblOffset val="100"/>
        <c:noMultiLvlLbl val="0"/>
      </c:catAx>
      <c:valAx>
        <c:axId val="349115136"/>
        <c:scaling>
          <c:orientation val="minMax"/>
        </c:scaling>
        <c:delete val="0"/>
        <c:axPos val="l"/>
        <c:majorGridlines/>
        <c:title>
          <c:tx>
            <c:rich>
              <a:bodyPr rot="-5400000" vert="horz"/>
              <a:lstStyle/>
              <a:p>
                <a:pPr>
                  <a:defRPr lang="en-US"/>
                </a:pPr>
                <a:r>
                  <a:rPr lang="en-US"/>
                  <a:t>USD</a:t>
                </a:r>
                <a:r>
                  <a:rPr lang="en-US" baseline="0"/>
                  <a:t> Million</a:t>
                </a:r>
                <a:endParaRPr lang="en-US"/>
              </a:p>
            </c:rich>
          </c:tx>
          <c:overlay val="0"/>
        </c:title>
        <c:numFmt formatCode="General" sourceLinked="1"/>
        <c:majorTickMark val="none"/>
        <c:minorTickMark val="none"/>
        <c:tickLblPos val="nextTo"/>
        <c:spPr>
          <a:ln w="9525">
            <a:noFill/>
          </a:ln>
        </c:spPr>
        <c:txPr>
          <a:bodyPr/>
          <a:lstStyle/>
          <a:p>
            <a:pPr>
              <a:defRPr lang="en-US"/>
            </a:pPr>
            <a:endParaRPr lang="en-US"/>
          </a:p>
        </c:txPr>
        <c:crossAx val="349113344"/>
        <c:crosses val="autoZero"/>
        <c:crossBetween val="between"/>
      </c:valAx>
    </c:plotArea>
    <c:legend>
      <c:legendPos val="b"/>
      <c:overlay val="0"/>
      <c:txPr>
        <a:bodyPr/>
        <a:lstStyle/>
        <a:p>
          <a:pPr>
            <a:defRPr lang="en-US"/>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69566D-8E24-4F7B-8141-E0AA4A92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6540</Words>
  <Characters>37280</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Nael</dc:creator>
  <cp:lastModifiedBy>Chaudhri, Fatima</cp:lastModifiedBy>
  <cp:revision>2</cp:revision>
  <dcterms:created xsi:type="dcterms:W3CDTF">2012-11-19T14:34:00Z</dcterms:created>
  <dcterms:modified xsi:type="dcterms:W3CDTF">2012-11-19T14:34:00Z</dcterms:modified>
</cp:coreProperties>
</file>