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06C" w:rsidRDefault="00D5006C" w:rsidP="00D5006C">
      <w:pPr>
        <w:jc w:val="center"/>
        <w:rPr>
          <w:rFonts w:cstheme="minorHAnsi"/>
          <w:b/>
          <w:bCs/>
          <w:sz w:val="32"/>
          <w:szCs w:val="32"/>
          <w:u w:val="single"/>
        </w:rPr>
      </w:pPr>
      <w:bookmarkStart w:id="0" w:name="_GoBack"/>
      <w:bookmarkEnd w:id="0"/>
      <w:r>
        <w:rPr>
          <w:noProof/>
          <w:lang w:val="en-GB" w:eastAsia="en-GB"/>
        </w:rPr>
        <w:drawing>
          <wp:inline distT="0" distB="0" distL="0" distR="0">
            <wp:extent cx="638175" cy="795591"/>
            <wp:effectExtent l="19050" t="0" r="9525" b="0"/>
            <wp:docPr id="8" name="internal-source-marker_0.8899209802679617" descr="https://lh5.googleusercontent.com/UE6HZfNNj9GZoPku3XCDMQIRqRcFVTN7K9I6iOT__PM0t2O3ocjMCKTd3idRWFgZ1rEL9gbCvwoAOgC58HLf9HXj9UAv_sPR1qdW3p2PI_AMcXuqt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source-marker_0.8899209802679617" descr="https://lh5.googleusercontent.com/UE6HZfNNj9GZoPku3XCDMQIRqRcFVTN7K9I6iOT__PM0t2O3ocjMCKTd3idRWFgZ1rEL9gbCvwoAOgC58HLf9HXj9UAv_sPR1qdW3p2PI_AMcXuqt5Q"/>
                    <pic:cNvPicPr>
                      <a:picLocks noChangeAspect="1" noChangeArrowheads="1"/>
                    </pic:cNvPicPr>
                  </pic:nvPicPr>
                  <pic:blipFill>
                    <a:blip r:embed="rId8" cstate="print"/>
                    <a:srcRect/>
                    <a:stretch>
                      <a:fillRect/>
                    </a:stretch>
                  </pic:blipFill>
                  <pic:spPr bwMode="auto">
                    <a:xfrm>
                      <a:off x="0" y="0"/>
                      <a:ext cx="638175" cy="795591"/>
                    </a:xfrm>
                    <a:prstGeom prst="rect">
                      <a:avLst/>
                    </a:prstGeom>
                    <a:noFill/>
                    <a:ln w="9525">
                      <a:noFill/>
                      <a:miter lim="800000"/>
                      <a:headEnd/>
                      <a:tailEnd/>
                    </a:ln>
                  </pic:spPr>
                </pic:pic>
              </a:graphicData>
            </a:graphic>
          </wp:inline>
        </w:drawing>
      </w:r>
    </w:p>
    <w:p w:rsidR="00D5006C" w:rsidRDefault="00D5006C" w:rsidP="00D5006C">
      <w:pPr>
        <w:ind w:left="1134" w:hanging="873"/>
        <w:jc w:val="center"/>
        <w:rPr>
          <w:rFonts w:cstheme="minorHAnsi"/>
          <w:b/>
          <w:bCs/>
          <w:sz w:val="32"/>
          <w:szCs w:val="32"/>
          <w:u w:val="single"/>
        </w:rPr>
      </w:pPr>
      <w:r w:rsidRPr="0037082F">
        <w:rPr>
          <w:rFonts w:cstheme="minorHAnsi"/>
          <w:b/>
          <w:bCs/>
          <w:sz w:val="32"/>
          <w:szCs w:val="32"/>
          <w:u w:val="single"/>
        </w:rPr>
        <w:t xml:space="preserve">International Trade </w:t>
      </w:r>
      <w:r>
        <w:rPr>
          <w:rFonts w:cstheme="minorHAnsi"/>
          <w:b/>
          <w:bCs/>
          <w:sz w:val="32"/>
          <w:szCs w:val="32"/>
          <w:u w:val="single"/>
        </w:rPr>
        <w:t>Regulations: the Law of the WTO</w:t>
      </w:r>
    </w:p>
    <w:p w:rsidR="00D5006C" w:rsidRPr="0037082F" w:rsidRDefault="000F1B2A" w:rsidP="00D5006C">
      <w:pPr>
        <w:spacing w:after="0" w:line="240" w:lineRule="auto"/>
        <w:ind w:left="720"/>
        <w:jc w:val="both"/>
        <w:rPr>
          <w:rFonts w:eastAsia="Times New Roman" w:cstheme="minorHAnsi"/>
          <w:sz w:val="24"/>
          <w:szCs w:val="24"/>
          <w:lang w:eastAsia="en-CA"/>
        </w:rPr>
      </w:pPr>
      <w:r>
        <w:rPr>
          <w:rFonts w:eastAsia="Times New Roman" w:cstheme="minorHAnsi"/>
          <w:sz w:val="24"/>
          <w:szCs w:val="24"/>
          <w:lang w:eastAsia="en-CA"/>
        </w:rPr>
        <w:pict>
          <v:rect id="_x0000_i1025" style="width:237.6pt;height:1.5pt" o:hrpct="550" o:hralign="center" o:hrstd="t" o:hr="t" fillcolor="#a0a0a0" stroked="f"/>
        </w:pict>
      </w:r>
    </w:p>
    <w:p w:rsidR="00D5006C" w:rsidRPr="0037082F" w:rsidRDefault="00D5006C" w:rsidP="00D5006C">
      <w:pPr>
        <w:spacing w:before="100" w:beforeAutospacing="1" w:after="100" w:afterAutospacing="1" w:line="240" w:lineRule="auto"/>
        <w:rPr>
          <w:rFonts w:eastAsia="Times New Roman" w:cstheme="minorHAnsi"/>
          <w:sz w:val="24"/>
          <w:szCs w:val="24"/>
          <w:lang w:eastAsia="en-CA"/>
        </w:rPr>
      </w:pPr>
      <w:r w:rsidRPr="0037082F">
        <w:rPr>
          <w:rFonts w:eastAsia="Times New Roman" w:cstheme="minorHAnsi"/>
          <w:b/>
          <w:bCs/>
          <w:i/>
          <w:iCs/>
          <w:color w:val="000000"/>
          <w:sz w:val="24"/>
          <w:szCs w:val="24"/>
          <w:lang w:eastAsia="en-CA"/>
        </w:rPr>
        <w:t>Course description</w:t>
      </w:r>
    </w:p>
    <w:p w:rsidR="00D5006C" w:rsidRDefault="00D5006C" w:rsidP="00D5006C">
      <w:pPr>
        <w:jc w:val="both"/>
      </w:pPr>
      <w:r w:rsidRPr="0037082F">
        <w:rPr>
          <w:rFonts w:eastAsia="Times New Roman" w:cstheme="minorHAnsi"/>
          <w:sz w:val="24"/>
          <w:szCs w:val="24"/>
          <w:lang w:eastAsia="en-CA"/>
        </w:rPr>
        <w:br/>
      </w:r>
      <w:r>
        <w:t>With the growing economic interdependence of the world, understanding this system is becoming increasingly important.</w:t>
      </w:r>
      <w:r>
        <w:rPr>
          <w:rFonts w:hint="cs"/>
          <w:rtl/>
        </w:rPr>
        <w:t xml:space="preserve"> </w:t>
      </w:r>
      <w:r>
        <w:t xml:space="preserve">With as much as 50% (or more) of profits of some businesses coming from transactions across borders, it does not seem extravagant to suggest that in the next few decades a very high percentage of lawyers will encounter problems of the sort that require an understanding of the role of law (or lack of law) in international affairs. </w:t>
      </w:r>
    </w:p>
    <w:p w:rsidR="00D5006C" w:rsidRDefault="00D5006C" w:rsidP="00D5006C">
      <w:pPr>
        <w:spacing w:before="100" w:beforeAutospacing="1" w:after="100" w:afterAutospacing="1" w:line="240" w:lineRule="auto"/>
        <w:jc w:val="both"/>
        <w:rPr>
          <w:rFonts w:eastAsia="Times New Roman" w:cstheme="minorHAnsi"/>
          <w:sz w:val="24"/>
          <w:szCs w:val="24"/>
          <w:lang w:eastAsia="en-CA"/>
        </w:rPr>
      </w:pPr>
      <w:r w:rsidRPr="0037082F">
        <w:rPr>
          <w:rFonts w:eastAsia="Times New Roman" w:cstheme="minorHAnsi"/>
          <w:color w:val="000000"/>
          <w:sz w:val="24"/>
          <w:szCs w:val="24"/>
          <w:lang w:eastAsia="en-CA"/>
        </w:rPr>
        <w:t>This course will study the legal framework governing international economic relations and global business. Students will gain an understanding of why and how national and international institutions regulate world trade.   Particular attention will be paid to the evolution of international trade regulation and the pressures on existing regulatory concepts and principles. Topics will include WTO, the protection of intellectual property, the promotion of international services transactions, and the stability of international currency markets.</w:t>
      </w:r>
      <w:r w:rsidRPr="0037082F">
        <w:rPr>
          <w:rFonts w:eastAsia="Times New Roman" w:cstheme="minorHAnsi"/>
          <w:sz w:val="24"/>
          <w:szCs w:val="24"/>
          <w:lang w:eastAsia="en-CA"/>
        </w:rPr>
        <w:t xml:space="preserve"> </w:t>
      </w:r>
    </w:p>
    <w:p w:rsidR="00D5006C" w:rsidRPr="0037082F" w:rsidRDefault="00D5006C" w:rsidP="00D5006C">
      <w:pPr>
        <w:jc w:val="both"/>
        <w:rPr>
          <w:rFonts w:eastAsia="Times New Roman" w:cstheme="minorHAnsi"/>
          <w:sz w:val="24"/>
          <w:szCs w:val="24"/>
          <w:lang w:eastAsia="en-CA"/>
        </w:rPr>
      </w:pPr>
      <w:r>
        <w:t xml:space="preserve">There is no way to keep course materials in this subject completely up-to-date, since new developments occur almost daily. Thus we will heavily be using online resources from the WTO website and similar websites that we will refer to in due course. </w:t>
      </w:r>
    </w:p>
    <w:p w:rsidR="00D5006C" w:rsidRPr="0037082F" w:rsidRDefault="00D5006C" w:rsidP="00D5006C">
      <w:pPr>
        <w:spacing w:before="100" w:beforeAutospacing="1" w:after="100" w:afterAutospacing="1" w:line="240" w:lineRule="auto"/>
        <w:rPr>
          <w:rFonts w:eastAsia="Times New Roman" w:cstheme="minorHAnsi"/>
          <w:sz w:val="24"/>
          <w:szCs w:val="24"/>
          <w:lang w:eastAsia="en-CA"/>
        </w:rPr>
      </w:pPr>
      <w:r w:rsidRPr="0037082F">
        <w:rPr>
          <w:rFonts w:eastAsia="Times New Roman" w:cstheme="minorHAnsi"/>
          <w:b/>
          <w:bCs/>
          <w:i/>
          <w:iCs/>
          <w:color w:val="000000"/>
          <w:sz w:val="24"/>
          <w:szCs w:val="24"/>
          <w:lang w:eastAsia="en-CA"/>
        </w:rPr>
        <w:t>Course Materials</w:t>
      </w:r>
    </w:p>
    <w:p w:rsidR="00D5006C" w:rsidRPr="0037082F" w:rsidRDefault="00D5006C" w:rsidP="00D5006C">
      <w:pPr>
        <w:spacing w:after="0" w:line="240" w:lineRule="auto"/>
        <w:jc w:val="both"/>
        <w:rPr>
          <w:rFonts w:eastAsia="Times New Roman" w:cstheme="minorHAnsi"/>
          <w:sz w:val="24"/>
          <w:szCs w:val="24"/>
          <w:lang w:eastAsia="en-CA"/>
        </w:rPr>
      </w:pPr>
      <w:r>
        <w:rPr>
          <w:rFonts w:eastAsia="Times New Roman" w:cstheme="minorHAnsi"/>
          <w:sz w:val="24"/>
          <w:szCs w:val="24"/>
          <w:lang w:eastAsia="en-CA"/>
        </w:rPr>
        <w:t xml:space="preserve">WTO and GATT case law and jurisprudence will be heavily invoked, and those can be obtained from the WTO website and from </w:t>
      </w:r>
      <w:hyperlink r:id="rId9" w:history="1">
        <w:r w:rsidRPr="00AB4059">
          <w:rPr>
            <w:rStyle w:val="Hyperlink"/>
            <w:rFonts w:cstheme="minorHAnsi"/>
            <w:szCs w:val="24"/>
            <w:lang w:eastAsia="en-CA"/>
          </w:rPr>
          <w:t>www.worldtradelaw.net</w:t>
        </w:r>
      </w:hyperlink>
      <w:r>
        <w:rPr>
          <w:rFonts w:eastAsia="Times New Roman" w:cstheme="minorHAnsi"/>
          <w:sz w:val="24"/>
          <w:szCs w:val="24"/>
          <w:lang w:eastAsia="en-CA"/>
        </w:rPr>
        <w:t xml:space="preserve">  </w:t>
      </w:r>
      <w:r w:rsidRPr="0037082F">
        <w:rPr>
          <w:rFonts w:eastAsia="Times New Roman" w:cstheme="minorHAnsi"/>
          <w:sz w:val="24"/>
          <w:szCs w:val="24"/>
          <w:lang w:eastAsia="en-CA"/>
        </w:rPr>
        <w:t>Reading assignments will be posted on the course web page</w:t>
      </w:r>
      <w:r>
        <w:rPr>
          <w:rFonts w:eastAsia="Times New Roman" w:cstheme="minorHAnsi"/>
          <w:sz w:val="24"/>
          <w:szCs w:val="24"/>
          <w:lang w:eastAsia="en-CA"/>
        </w:rPr>
        <w:t xml:space="preserve"> and/or sent to students over email on a weekly basis</w:t>
      </w:r>
      <w:r w:rsidRPr="0037082F">
        <w:rPr>
          <w:rFonts w:eastAsia="Times New Roman" w:cstheme="minorHAnsi"/>
          <w:sz w:val="24"/>
          <w:szCs w:val="24"/>
          <w:lang w:eastAsia="en-CA"/>
        </w:rPr>
        <w:t xml:space="preserve">.  Unless otherwise indicated, all readings will be available through the course web page. </w:t>
      </w:r>
    </w:p>
    <w:p w:rsidR="00D5006C" w:rsidRPr="0037082F" w:rsidRDefault="00D5006C" w:rsidP="00D5006C">
      <w:pPr>
        <w:spacing w:before="100" w:beforeAutospacing="1" w:after="100" w:afterAutospacing="1" w:line="240" w:lineRule="auto"/>
        <w:rPr>
          <w:rFonts w:eastAsia="Times New Roman" w:cstheme="minorHAnsi"/>
          <w:sz w:val="24"/>
          <w:szCs w:val="24"/>
          <w:lang w:eastAsia="en-CA"/>
        </w:rPr>
      </w:pPr>
      <w:r w:rsidRPr="0037082F">
        <w:rPr>
          <w:rFonts w:eastAsia="Times New Roman" w:cstheme="minorHAnsi"/>
          <w:b/>
          <w:bCs/>
          <w:i/>
          <w:iCs/>
          <w:sz w:val="24"/>
          <w:szCs w:val="24"/>
          <w:lang w:eastAsia="en-CA"/>
        </w:rPr>
        <w:t>Office Hours</w:t>
      </w:r>
    </w:p>
    <w:p w:rsidR="00D5006C" w:rsidRDefault="00D5006C" w:rsidP="00D5006C">
      <w:pPr>
        <w:spacing w:after="0" w:line="240" w:lineRule="auto"/>
        <w:jc w:val="both"/>
        <w:rPr>
          <w:rFonts w:eastAsia="Times New Roman" w:cstheme="minorHAnsi"/>
          <w:sz w:val="24"/>
          <w:szCs w:val="24"/>
          <w:lang w:eastAsia="en-CA"/>
        </w:rPr>
      </w:pPr>
      <w:r w:rsidRPr="0037082F">
        <w:rPr>
          <w:rFonts w:eastAsia="Times New Roman" w:cstheme="minorHAnsi"/>
          <w:sz w:val="24"/>
          <w:szCs w:val="24"/>
          <w:lang w:eastAsia="en-CA"/>
        </w:rPr>
        <w:t xml:space="preserve">My office is Room </w:t>
      </w:r>
      <w:r>
        <w:rPr>
          <w:rFonts w:eastAsia="Times New Roman" w:cstheme="minorHAnsi"/>
          <w:sz w:val="24"/>
          <w:szCs w:val="24"/>
          <w:lang w:eastAsia="en-CA"/>
        </w:rPr>
        <w:t>38 in the Faculty of Law</w:t>
      </w:r>
      <w:r w:rsidRPr="0037082F">
        <w:rPr>
          <w:rFonts w:eastAsia="Times New Roman" w:cstheme="minorHAnsi"/>
          <w:sz w:val="24"/>
          <w:szCs w:val="24"/>
          <w:lang w:eastAsia="en-CA"/>
        </w:rPr>
        <w:t xml:space="preserve"> and I will hold regular office hours </w:t>
      </w:r>
      <w:r>
        <w:rPr>
          <w:rFonts w:eastAsia="Times New Roman" w:cstheme="minorHAnsi"/>
          <w:sz w:val="24"/>
          <w:szCs w:val="24"/>
          <w:lang w:eastAsia="en-CA"/>
        </w:rPr>
        <w:t xml:space="preserve">before our class </w:t>
      </w:r>
      <w:r w:rsidRPr="0037082F">
        <w:rPr>
          <w:rFonts w:eastAsia="Times New Roman" w:cstheme="minorHAnsi"/>
          <w:sz w:val="24"/>
          <w:szCs w:val="24"/>
          <w:lang w:eastAsia="en-CA"/>
        </w:rPr>
        <w:t>wit</w:t>
      </w:r>
      <w:r>
        <w:rPr>
          <w:rFonts w:eastAsia="Times New Roman" w:cstheme="minorHAnsi"/>
          <w:sz w:val="24"/>
          <w:szCs w:val="24"/>
          <w:lang w:eastAsia="en-CA"/>
        </w:rPr>
        <w:t>h several exceptions that will </w:t>
      </w:r>
      <w:r w:rsidRPr="0037082F">
        <w:rPr>
          <w:rFonts w:eastAsia="Times New Roman" w:cstheme="minorHAnsi"/>
          <w:sz w:val="24"/>
          <w:szCs w:val="24"/>
          <w:lang w:eastAsia="en-CA"/>
        </w:rPr>
        <w:t>be announced in class during the semester.  I will also be available for office meetings by appointment.  In addition, I will hold "virtual office hours" via e-mail, 24 hours/day</w:t>
      </w:r>
      <w:r>
        <w:rPr>
          <w:rFonts w:eastAsia="Times New Roman" w:cstheme="minorHAnsi"/>
          <w:sz w:val="24"/>
          <w:szCs w:val="24"/>
          <w:lang w:eastAsia="en-CA"/>
        </w:rPr>
        <w:t>.</w:t>
      </w:r>
    </w:p>
    <w:p w:rsidR="00D5006C" w:rsidRDefault="00D5006C" w:rsidP="00D5006C">
      <w:pPr>
        <w:spacing w:after="0" w:line="240" w:lineRule="auto"/>
        <w:rPr>
          <w:rFonts w:eastAsia="Times New Roman" w:cstheme="minorHAnsi"/>
          <w:sz w:val="24"/>
          <w:szCs w:val="24"/>
          <w:lang w:eastAsia="en-CA"/>
        </w:rPr>
      </w:pPr>
    </w:p>
    <w:p w:rsidR="00D5006C" w:rsidRPr="00CF3A93" w:rsidRDefault="00D5006C" w:rsidP="00D5006C">
      <w:pPr>
        <w:spacing w:after="0" w:line="240" w:lineRule="auto"/>
        <w:rPr>
          <w:rFonts w:eastAsia="Times New Roman" w:cstheme="minorHAnsi"/>
          <w:sz w:val="24"/>
          <w:szCs w:val="24"/>
          <w:lang w:eastAsia="en-CA"/>
        </w:rPr>
      </w:pPr>
      <w:r w:rsidRPr="00CF3A93">
        <w:rPr>
          <w:rFonts w:eastAsia="Times New Roman" w:cstheme="minorHAnsi"/>
          <w:b/>
          <w:bCs/>
          <w:i/>
          <w:iCs/>
          <w:sz w:val="24"/>
          <w:szCs w:val="24"/>
          <w:lang w:eastAsia="en-CA"/>
        </w:rPr>
        <w:lastRenderedPageBreak/>
        <w:t>Grading</w:t>
      </w:r>
    </w:p>
    <w:p w:rsidR="00D5006C" w:rsidRPr="0037082F" w:rsidRDefault="00D5006C" w:rsidP="00D5006C">
      <w:pPr>
        <w:spacing w:before="100" w:beforeAutospacing="1" w:after="100" w:afterAutospacing="1" w:line="240" w:lineRule="auto"/>
        <w:rPr>
          <w:rFonts w:eastAsia="Times New Roman" w:cstheme="minorHAnsi"/>
          <w:sz w:val="24"/>
          <w:szCs w:val="24"/>
          <w:lang w:eastAsia="en-CA"/>
        </w:rPr>
      </w:pPr>
      <w:r w:rsidRPr="0037082F">
        <w:rPr>
          <w:rFonts w:eastAsia="Times New Roman" w:cstheme="minorHAnsi"/>
          <w:b/>
          <w:bCs/>
          <w:i/>
          <w:iCs/>
          <w:sz w:val="24"/>
          <w:szCs w:val="24"/>
          <w:lang w:eastAsia="en-CA"/>
        </w:rPr>
        <w:t>Readings</w:t>
      </w:r>
    </w:p>
    <w:p w:rsidR="00D5006C" w:rsidRPr="0037082F" w:rsidRDefault="00D5006C" w:rsidP="00D5006C">
      <w:pPr>
        <w:spacing w:before="100" w:beforeAutospacing="1" w:after="100" w:afterAutospacing="1" w:line="240" w:lineRule="auto"/>
        <w:rPr>
          <w:rFonts w:eastAsia="Times New Roman" w:cstheme="minorHAnsi"/>
          <w:sz w:val="24"/>
          <w:szCs w:val="24"/>
          <w:lang w:eastAsia="en-CA"/>
        </w:rPr>
      </w:pPr>
      <w:r w:rsidRPr="0037082F">
        <w:rPr>
          <w:rFonts w:eastAsia="Times New Roman" w:cstheme="minorHAnsi"/>
          <w:sz w:val="24"/>
          <w:szCs w:val="24"/>
          <w:lang w:eastAsia="en-CA"/>
        </w:rPr>
        <w:br/>
      </w:r>
      <w:r>
        <w:rPr>
          <w:rFonts w:eastAsia="Times New Roman" w:cstheme="minorHAnsi"/>
          <w:b/>
          <w:bCs/>
          <w:sz w:val="24"/>
          <w:szCs w:val="24"/>
          <w:u w:val="single"/>
          <w:lang w:eastAsia="en-CA"/>
        </w:rPr>
        <w:t xml:space="preserve">1. </w:t>
      </w:r>
      <w:r w:rsidRPr="0037082F">
        <w:rPr>
          <w:rFonts w:eastAsia="Times New Roman" w:cstheme="minorHAnsi"/>
          <w:b/>
          <w:bCs/>
          <w:sz w:val="24"/>
          <w:szCs w:val="24"/>
          <w:u w:val="single"/>
          <w:lang w:eastAsia="en-CA"/>
        </w:rPr>
        <w:t xml:space="preserve">INTRODUCTION TO INTERNATIONAL TRADE </w:t>
      </w:r>
      <w:proofErr w:type="gramStart"/>
      <w:r w:rsidRPr="0037082F">
        <w:rPr>
          <w:rFonts w:eastAsia="Times New Roman" w:cstheme="minorHAnsi"/>
          <w:b/>
          <w:bCs/>
          <w:sz w:val="24"/>
          <w:szCs w:val="24"/>
          <w:u w:val="single"/>
          <w:lang w:eastAsia="en-CA"/>
        </w:rPr>
        <w:t>REGULATION</w:t>
      </w:r>
      <w:r w:rsidRPr="0037082F">
        <w:rPr>
          <w:rFonts w:eastAsia="Times New Roman" w:cstheme="minorHAnsi"/>
          <w:sz w:val="24"/>
          <w:szCs w:val="24"/>
          <w:lang w:eastAsia="en-CA"/>
        </w:rPr>
        <w:t xml:space="preserve"> </w:t>
      </w:r>
      <w:r>
        <w:rPr>
          <w:rFonts w:eastAsia="Times New Roman" w:cstheme="minorHAnsi" w:hint="cs"/>
          <w:sz w:val="24"/>
          <w:szCs w:val="24"/>
          <w:rtl/>
          <w:lang w:eastAsia="en-CA"/>
        </w:rPr>
        <w:t xml:space="preserve"> </w:t>
      </w:r>
      <w:r w:rsidRPr="0037082F">
        <w:rPr>
          <w:rFonts w:eastAsia="Times New Roman" w:cstheme="minorHAnsi"/>
          <w:i/>
          <w:iCs/>
          <w:sz w:val="24"/>
          <w:szCs w:val="24"/>
          <w:lang w:eastAsia="en-CA"/>
        </w:rPr>
        <w:t>Week</w:t>
      </w:r>
      <w:proofErr w:type="gramEnd"/>
      <w:r w:rsidRPr="0037082F">
        <w:rPr>
          <w:rFonts w:eastAsia="Times New Roman" w:cstheme="minorHAnsi"/>
          <w:i/>
          <w:iCs/>
          <w:sz w:val="24"/>
          <w:szCs w:val="24"/>
          <w:lang w:eastAsia="en-CA"/>
        </w:rPr>
        <w:t xml:space="preserve"> 1 </w:t>
      </w:r>
    </w:p>
    <w:p w:rsidR="00D5006C" w:rsidRPr="007409E1" w:rsidRDefault="00D5006C" w:rsidP="00D5006C">
      <w:pPr>
        <w:pStyle w:val="ListParagraph"/>
        <w:numPr>
          <w:ilvl w:val="0"/>
          <w:numId w:val="1"/>
        </w:numPr>
        <w:spacing w:before="100" w:beforeAutospacing="1" w:after="100" w:afterAutospacing="1" w:line="240" w:lineRule="auto"/>
        <w:rPr>
          <w:rFonts w:eastAsia="Times New Roman" w:cstheme="minorHAnsi"/>
          <w:sz w:val="24"/>
          <w:szCs w:val="24"/>
          <w:lang w:eastAsia="en-CA"/>
        </w:rPr>
      </w:pPr>
      <w:r w:rsidRPr="007409E1">
        <w:rPr>
          <w:rFonts w:eastAsia="Times New Roman" w:cstheme="minorHAnsi"/>
          <w:sz w:val="24"/>
          <w:szCs w:val="24"/>
          <w:lang w:eastAsia="en-CA"/>
        </w:rPr>
        <w:t>WTO, The Ten Benefits</w:t>
      </w:r>
    </w:p>
    <w:p w:rsidR="00D5006C" w:rsidRPr="00F62E70" w:rsidRDefault="00D5006C" w:rsidP="00D5006C">
      <w:pPr>
        <w:pStyle w:val="ListParagraph"/>
        <w:numPr>
          <w:ilvl w:val="0"/>
          <w:numId w:val="1"/>
        </w:numPr>
        <w:spacing w:before="100" w:beforeAutospacing="1" w:after="100" w:afterAutospacing="1" w:line="240" w:lineRule="auto"/>
        <w:rPr>
          <w:rFonts w:eastAsia="Times New Roman" w:cstheme="minorHAnsi"/>
          <w:sz w:val="24"/>
          <w:szCs w:val="24"/>
          <w:lang w:eastAsia="en-CA"/>
        </w:rPr>
      </w:pPr>
      <w:r>
        <w:rPr>
          <w:rFonts w:eastAsia="Times New Roman" w:cstheme="minorHAnsi"/>
          <w:sz w:val="24"/>
          <w:szCs w:val="24"/>
          <w:lang w:eastAsia="en-CA"/>
        </w:rPr>
        <w:t>Comparative Advantage Theory</w:t>
      </w:r>
    </w:p>
    <w:p w:rsidR="00D5006C" w:rsidRDefault="00D5006C" w:rsidP="00D5006C">
      <w:pPr>
        <w:spacing w:before="100" w:beforeAutospacing="1" w:after="100" w:afterAutospacing="1" w:line="240" w:lineRule="auto"/>
        <w:rPr>
          <w:rFonts w:eastAsia="Times New Roman" w:cstheme="minorHAnsi"/>
          <w:i/>
          <w:iCs/>
          <w:sz w:val="24"/>
          <w:szCs w:val="24"/>
          <w:rtl/>
          <w:lang w:eastAsia="en-CA"/>
        </w:rPr>
      </w:pPr>
      <w:r w:rsidRPr="0037082F">
        <w:rPr>
          <w:rFonts w:eastAsia="Times New Roman" w:cstheme="minorHAnsi"/>
          <w:sz w:val="24"/>
          <w:szCs w:val="24"/>
          <w:lang w:eastAsia="en-CA"/>
        </w:rPr>
        <w:br/>
        <w:t> </w:t>
      </w:r>
      <w:r>
        <w:rPr>
          <w:rFonts w:eastAsia="Times New Roman" w:cstheme="minorHAnsi"/>
          <w:b/>
          <w:bCs/>
          <w:sz w:val="24"/>
          <w:szCs w:val="24"/>
          <w:u w:val="single"/>
          <w:lang w:eastAsia="en-CA"/>
        </w:rPr>
        <w:t>2.</w:t>
      </w:r>
      <w:r w:rsidRPr="00BF29C6">
        <w:rPr>
          <w:rFonts w:eastAsia="Times New Roman" w:cstheme="minorHAnsi"/>
          <w:b/>
          <w:bCs/>
          <w:sz w:val="24"/>
          <w:szCs w:val="24"/>
          <w:u w:val="single"/>
          <w:lang w:eastAsia="en-CA"/>
        </w:rPr>
        <w:t xml:space="preserve"> FROM</w:t>
      </w:r>
      <w:r w:rsidRPr="0037082F">
        <w:rPr>
          <w:rFonts w:eastAsia="Times New Roman" w:cstheme="minorHAnsi"/>
          <w:b/>
          <w:bCs/>
          <w:sz w:val="24"/>
          <w:szCs w:val="24"/>
          <w:u w:val="single"/>
          <w:lang w:eastAsia="en-CA"/>
        </w:rPr>
        <w:t xml:space="preserve"> THE BRETTON WOODS SYSTEM TO THE WTO</w:t>
      </w:r>
      <w:r w:rsidRPr="0037082F">
        <w:rPr>
          <w:rFonts w:eastAsia="Times New Roman" w:cstheme="minorHAnsi"/>
          <w:sz w:val="24"/>
          <w:szCs w:val="24"/>
          <w:lang w:eastAsia="en-CA"/>
        </w:rPr>
        <w:t xml:space="preserve">   </w:t>
      </w:r>
      <w:r w:rsidRPr="0037082F">
        <w:rPr>
          <w:rFonts w:eastAsia="Times New Roman" w:cstheme="minorHAnsi"/>
          <w:i/>
          <w:iCs/>
          <w:sz w:val="24"/>
          <w:szCs w:val="24"/>
          <w:lang w:eastAsia="en-CA"/>
        </w:rPr>
        <w:t xml:space="preserve">Week 2 </w:t>
      </w:r>
    </w:p>
    <w:p w:rsidR="00D5006C" w:rsidRPr="007409E1" w:rsidRDefault="00D5006C" w:rsidP="00D5006C">
      <w:pPr>
        <w:pStyle w:val="ListParagraph"/>
        <w:numPr>
          <w:ilvl w:val="0"/>
          <w:numId w:val="1"/>
        </w:numPr>
        <w:spacing w:before="100" w:beforeAutospacing="1" w:after="100" w:afterAutospacing="1" w:line="240" w:lineRule="auto"/>
        <w:rPr>
          <w:rFonts w:eastAsia="Times New Roman" w:cstheme="minorHAnsi"/>
          <w:sz w:val="24"/>
          <w:szCs w:val="24"/>
          <w:lang w:eastAsia="en-CA"/>
        </w:rPr>
      </w:pPr>
      <w:r w:rsidRPr="007409E1">
        <w:rPr>
          <w:rFonts w:eastAsia="Times New Roman" w:cstheme="minorHAnsi"/>
          <w:sz w:val="24"/>
          <w:szCs w:val="24"/>
          <w:lang w:eastAsia="en-CA"/>
        </w:rPr>
        <w:t xml:space="preserve">WTO, </w:t>
      </w:r>
      <w:hyperlink r:id="rId10" w:history="1">
        <w:r w:rsidRPr="007409E1">
          <w:rPr>
            <w:rFonts w:eastAsia="Times New Roman" w:cstheme="minorHAnsi"/>
            <w:sz w:val="24"/>
            <w:szCs w:val="24"/>
            <w:lang w:eastAsia="en-CA"/>
          </w:rPr>
          <w:t>The multilateral trading system—past, present and future</w:t>
        </w:r>
      </w:hyperlink>
      <w:r w:rsidRPr="007409E1">
        <w:rPr>
          <w:rFonts w:eastAsia="Times New Roman" w:cstheme="minorHAnsi"/>
          <w:sz w:val="24"/>
          <w:szCs w:val="24"/>
          <w:lang w:eastAsia="en-CA"/>
        </w:rPr>
        <w:t xml:space="preserve"> </w:t>
      </w:r>
    </w:p>
    <w:p w:rsidR="00D5006C" w:rsidRDefault="00D5006C" w:rsidP="00D5006C">
      <w:pPr>
        <w:pStyle w:val="ListParagraph"/>
        <w:numPr>
          <w:ilvl w:val="0"/>
          <w:numId w:val="1"/>
        </w:numPr>
        <w:spacing w:before="100" w:beforeAutospacing="1" w:after="100" w:afterAutospacing="1" w:line="240" w:lineRule="auto"/>
        <w:rPr>
          <w:rFonts w:eastAsia="Times New Roman" w:cstheme="minorHAnsi"/>
          <w:sz w:val="24"/>
          <w:szCs w:val="24"/>
          <w:lang w:eastAsia="en-CA"/>
        </w:rPr>
      </w:pPr>
      <w:r>
        <w:rPr>
          <w:rFonts w:eastAsia="Times New Roman" w:cs="Arial"/>
          <w:sz w:val="24"/>
          <w:szCs w:val="24"/>
          <w:lang w:eastAsia="en-CA"/>
        </w:rPr>
        <w:t>W</w:t>
      </w:r>
      <w:r w:rsidRPr="007409E1">
        <w:rPr>
          <w:rFonts w:eastAsia="Times New Roman" w:cstheme="minorHAnsi"/>
          <w:sz w:val="24"/>
          <w:szCs w:val="24"/>
          <w:lang w:eastAsia="en-CA"/>
        </w:rPr>
        <w:t xml:space="preserve">TO, </w:t>
      </w:r>
      <w:hyperlink r:id="rId11" w:history="1">
        <w:r w:rsidRPr="007409E1">
          <w:rPr>
            <w:rFonts w:eastAsia="Times New Roman" w:cstheme="minorHAnsi"/>
            <w:sz w:val="24"/>
            <w:szCs w:val="24"/>
            <w:lang w:eastAsia="en-CA"/>
          </w:rPr>
          <w:t>The Organization</w:t>
        </w:r>
      </w:hyperlink>
      <w:r w:rsidRPr="007409E1">
        <w:rPr>
          <w:rFonts w:eastAsia="Times New Roman" w:cstheme="minorHAnsi"/>
          <w:sz w:val="24"/>
          <w:szCs w:val="24"/>
          <w:lang w:eastAsia="en-CA"/>
        </w:rPr>
        <w:t xml:space="preserve"> </w:t>
      </w:r>
    </w:p>
    <w:p w:rsidR="00D5006C" w:rsidRDefault="00D5006C" w:rsidP="00D5006C">
      <w:pPr>
        <w:pStyle w:val="ListParagraph"/>
        <w:numPr>
          <w:ilvl w:val="0"/>
          <w:numId w:val="1"/>
        </w:numPr>
        <w:spacing w:before="100" w:beforeAutospacing="1" w:after="100" w:afterAutospacing="1" w:line="240" w:lineRule="auto"/>
        <w:rPr>
          <w:rFonts w:eastAsia="Times New Roman" w:cstheme="minorHAnsi"/>
          <w:sz w:val="24"/>
          <w:szCs w:val="24"/>
          <w:lang w:eastAsia="en-CA"/>
        </w:rPr>
      </w:pPr>
      <w:r w:rsidRPr="007409E1">
        <w:rPr>
          <w:rFonts w:eastAsia="Times New Roman" w:cstheme="minorHAnsi"/>
          <w:sz w:val="24"/>
          <w:szCs w:val="24"/>
          <w:lang w:eastAsia="en-CA"/>
        </w:rPr>
        <w:t xml:space="preserve">WTO, </w:t>
      </w:r>
      <w:hyperlink r:id="rId12" w:history="1">
        <w:r w:rsidRPr="007409E1">
          <w:rPr>
            <w:rFonts w:eastAsia="Times New Roman" w:cstheme="minorHAnsi"/>
            <w:sz w:val="24"/>
            <w:szCs w:val="24"/>
            <w:lang w:eastAsia="en-CA"/>
          </w:rPr>
          <w:t>The WTO Agreements</w:t>
        </w:r>
      </w:hyperlink>
      <w:r w:rsidRPr="007409E1">
        <w:rPr>
          <w:rFonts w:eastAsia="Times New Roman" w:cstheme="minorHAnsi"/>
          <w:sz w:val="24"/>
          <w:szCs w:val="24"/>
          <w:lang w:eastAsia="en-CA"/>
        </w:rPr>
        <w:t xml:space="preserve"> </w:t>
      </w:r>
    </w:p>
    <w:p w:rsidR="00D5006C" w:rsidRDefault="00D5006C" w:rsidP="00D5006C">
      <w:pPr>
        <w:pStyle w:val="ListParagraph"/>
        <w:numPr>
          <w:ilvl w:val="0"/>
          <w:numId w:val="1"/>
        </w:numPr>
        <w:spacing w:before="100" w:beforeAutospacing="1" w:after="100" w:afterAutospacing="1" w:line="240" w:lineRule="auto"/>
        <w:rPr>
          <w:rFonts w:eastAsia="Times New Roman" w:cstheme="minorHAnsi"/>
          <w:sz w:val="24"/>
          <w:szCs w:val="24"/>
          <w:lang w:eastAsia="en-CA"/>
        </w:rPr>
      </w:pPr>
      <w:r w:rsidRPr="007409E1">
        <w:rPr>
          <w:rFonts w:eastAsia="Times New Roman" w:cstheme="minorHAnsi"/>
          <w:sz w:val="24"/>
          <w:szCs w:val="24"/>
          <w:lang w:eastAsia="en-CA"/>
        </w:rPr>
        <w:t xml:space="preserve">WTO, </w:t>
      </w:r>
      <w:hyperlink r:id="rId13" w:history="1">
        <w:r w:rsidRPr="007409E1">
          <w:rPr>
            <w:rFonts w:eastAsia="Times New Roman" w:cstheme="minorHAnsi"/>
            <w:sz w:val="24"/>
            <w:szCs w:val="24"/>
            <w:lang w:eastAsia="en-CA"/>
          </w:rPr>
          <w:t>Developing Countries</w:t>
        </w:r>
      </w:hyperlink>
      <w:r w:rsidRPr="007409E1">
        <w:rPr>
          <w:rFonts w:eastAsia="Times New Roman" w:cstheme="minorHAnsi"/>
          <w:sz w:val="24"/>
          <w:szCs w:val="24"/>
          <w:lang w:eastAsia="en-CA"/>
        </w:rPr>
        <w:t xml:space="preserve"> </w:t>
      </w:r>
    </w:p>
    <w:p w:rsidR="00D5006C" w:rsidRPr="007409E1" w:rsidRDefault="00D5006C" w:rsidP="00D5006C">
      <w:pPr>
        <w:pStyle w:val="ListParagraph"/>
        <w:numPr>
          <w:ilvl w:val="0"/>
          <w:numId w:val="1"/>
        </w:numPr>
        <w:spacing w:before="100" w:beforeAutospacing="1" w:after="100" w:afterAutospacing="1" w:line="240" w:lineRule="auto"/>
        <w:rPr>
          <w:rFonts w:eastAsia="Times New Roman" w:cstheme="minorHAnsi"/>
          <w:sz w:val="24"/>
          <w:szCs w:val="24"/>
          <w:lang w:eastAsia="en-CA"/>
        </w:rPr>
      </w:pPr>
      <w:r>
        <w:rPr>
          <w:rFonts w:eastAsia="Times New Roman" w:cstheme="minorHAnsi"/>
          <w:sz w:val="24"/>
          <w:szCs w:val="24"/>
          <w:lang w:eastAsia="en-CA"/>
        </w:rPr>
        <w:t>The Organization of the WTO</w:t>
      </w:r>
    </w:p>
    <w:p w:rsidR="00D5006C" w:rsidRPr="0037082F" w:rsidRDefault="00D5006C" w:rsidP="00D5006C">
      <w:pPr>
        <w:spacing w:before="100" w:beforeAutospacing="1" w:after="100" w:afterAutospacing="1" w:line="240" w:lineRule="auto"/>
        <w:rPr>
          <w:rFonts w:eastAsia="Times New Roman" w:cstheme="minorHAnsi"/>
          <w:sz w:val="24"/>
          <w:szCs w:val="24"/>
          <w:lang w:eastAsia="en-CA"/>
        </w:rPr>
      </w:pPr>
      <w:r w:rsidRPr="00B508E3">
        <w:rPr>
          <w:rFonts w:eastAsia="Times New Roman" w:cstheme="minorHAnsi"/>
          <w:b/>
          <w:bCs/>
          <w:i/>
          <w:iCs/>
          <w:sz w:val="24"/>
          <w:szCs w:val="24"/>
          <w:lang w:eastAsia="en-CA"/>
        </w:rPr>
        <w:t> </w:t>
      </w:r>
      <w:r w:rsidRPr="00BF29C6">
        <w:rPr>
          <w:rFonts w:eastAsia="Times New Roman" w:cstheme="minorHAnsi"/>
          <w:b/>
          <w:bCs/>
          <w:sz w:val="24"/>
          <w:szCs w:val="24"/>
          <w:u w:val="single"/>
          <w:lang w:eastAsia="en-CA"/>
        </w:rPr>
        <w:t xml:space="preserve">3.  Non-discrimination:  </w:t>
      </w:r>
      <w:proofErr w:type="gramStart"/>
      <w:r w:rsidRPr="00BF29C6">
        <w:rPr>
          <w:rFonts w:eastAsia="Times New Roman" w:cstheme="minorHAnsi"/>
          <w:b/>
          <w:bCs/>
          <w:sz w:val="24"/>
          <w:szCs w:val="24"/>
          <w:u w:val="single"/>
          <w:lang w:eastAsia="en-CA"/>
        </w:rPr>
        <w:t xml:space="preserve">MFN </w:t>
      </w:r>
      <w:r>
        <w:rPr>
          <w:rFonts w:eastAsia="Times New Roman" w:cstheme="minorHAnsi"/>
          <w:b/>
          <w:bCs/>
          <w:sz w:val="24"/>
          <w:szCs w:val="24"/>
          <w:u w:val="single"/>
          <w:lang w:eastAsia="en-CA"/>
        </w:rPr>
        <w:t xml:space="preserve"> </w:t>
      </w:r>
      <w:r w:rsidRPr="0037082F">
        <w:rPr>
          <w:rFonts w:eastAsia="Times New Roman" w:cstheme="minorHAnsi"/>
          <w:i/>
          <w:iCs/>
          <w:sz w:val="24"/>
          <w:szCs w:val="24"/>
          <w:lang w:eastAsia="en-CA"/>
        </w:rPr>
        <w:t>Week</w:t>
      </w:r>
      <w:proofErr w:type="gramEnd"/>
      <w:r w:rsidRPr="0037082F">
        <w:rPr>
          <w:rFonts w:eastAsia="Times New Roman" w:cstheme="minorHAnsi"/>
          <w:i/>
          <w:iCs/>
          <w:sz w:val="24"/>
          <w:szCs w:val="24"/>
          <w:lang w:eastAsia="en-CA"/>
        </w:rPr>
        <w:t xml:space="preserve"> </w:t>
      </w:r>
      <w:r>
        <w:rPr>
          <w:rFonts w:eastAsia="Times New Roman" w:cstheme="minorHAnsi"/>
          <w:i/>
          <w:iCs/>
          <w:sz w:val="24"/>
          <w:szCs w:val="24"/>
          <w:lang w:eastAsia="en-CA"/>
        </w:rPr>
        <w:t xml:space="preserve">3 </w:t>
      </w:r>
    </w:p>
    <w:p w:rsidR="00D5006C" w:rsidRPr="0037082F" w:rsidRDefault="00D5006C" w:rsidP="00D5006C">
      <w:pPr>
        <w:spacing w:before="100" w:beforeAutospacing="1" w:after="100" w:afterAutospacing="1" w:line="240" w:lineRule="auto"/>
        <w:rPr>
          <w:rFonts w:eastAsia="Times New Roman" w:cstheme="minorHAnsi"/>
          <w:sz w:val="24"/>
          <w:szCs w:val="24"/>
          <w:lang w:eastAsia="en-CA"/>
        </w:rPr>
      </w:pPr>
      <w:r>
        <w:rPr>
          <w:rFonts w:eastAsia="Times New Roman" w:cstheme="minorHAnsi"/>
          <w:b/>
          <w:bCs/>
          <w:sz w:val="24"/>
          <w:szCs w:val="24"/>
          <w:u w:val="single"/>
          <w:lang w:eastAsia="en-CA"/>
        </w:rPr>
        <w:t>4. Non-Discrimination:</w:t>
      </w:r>
      <w:r w:rsidRPr="00BF29C6">
        <w:rPr>
          <w:rFonts w:eastAsia="Times New Roman" w:cstheme="minorHAnsi"/>
          <w:b/>
          <w:bCs/>
          <w:sz w:val="24"/>
          <w:szCs w:val="24"/>
          <w:u w:val="single"/>
          <w:lang w:eastAsia="en-CA"/>
        </w:rPr>
        <w:t xml:space="preserve"> National Treatment</w:t>
      </w:r>
      <w:r w:rsidRPr="00B508E3">
        <w:rPr>
          <w:rFonts w:eastAsia="Times New Roman" w:cstheme="minorHAnsi"/>
          <w:b/>
          <w:bCs/>
          <w:i/>
          <w:iCs/>
          <w:sz w:val="24"/>
          <w:szCs w:val="24"/>
          <w:lang w:eastAsia="en-CA"/>
        </w:rPr>
        <w:t> </w:t>
      </w:r>
      <w:r w:rsidRPr="0037082F">
        <w:rPr>
          <w:rFonts w:eastAsia="Times New Roman" w:cstheme="minorHAnsi"/>
          <w:sz w:val="24"/>
          <w:szCs w:val="24"/>
          <w:lang w:eastAsia="en-CA"/>
        </w:rPr>
        <w:t xml:space="preserve">  </w:t>
      </w:r>
      <w:r>
        <w:rPr>
          <w:rFonts w:eastAsia="Times New Roman" w:cstheme="minorHAnsi"/>
          <w:sz w:val="24"/>
          <w:szCs w:val="24"/>
          <w:lang w:eastAsia="en-CA"/>
        </w:rPr>
        <w:t>week 4</w:t>
      </w:r>
    </w:p>
    <w:p w:rsidR="00D5006C" w:rsidRPr="003009BA" w:rsidRDefault="00D5006C" w:rsidP="00D5006C">
      <w:pPr>
        <w:spacing w:before="100" w:beforeAutospacing="1" w:after="100" w:afterAutospacing="1" w:line="240" w:lineRule="auto"/>
        <w:rPr>
          <w:rFonts w:eastAsia="Times New Roman" w:cstheme="minorHAnsi"/>
          <w:sz w:val="24"/>
          <w:szCs w:val="24"/>
          <w:lang w:eastAsia="en-CA"/>
        </w:rPr>
      </w:pPr>
      <w:r>
        <w:rPr>
          <w:rFonts w:eastAsia="Times New Roman" w:cstheme="minorHAnsi"/>
          <w:b/>
          <w:bCs/>
          <w:sz w:val="24"/>
          <w:szCs w:val="24"/>
          <w:u w:val="single"/>
          <w:lang w:eastAsia="en-CA"/>
        </w:rPr>
        <w:t>5</w:t>
      </w:r>
      <w:r w:rsidRPr="003009BA">
        <w:rPr>
          <w:rFonts w:eastAsia="Times New Roman" w:cstheme="minorHAnsi"/>
          <w:b/>
          <w:bCs/>
          <w:sz w:val="24"/>
          <w:szCs w:val="24"/>
          <w:u w:val="single"/>
          <w:lang w:eastAsia="en-CA"/>
        </w:rPr>
        <w:t>.</w:t>
      </w:r>
      <w:r>
        <w:rPr>
          <w:rFonts w:eastAsia="Times New Roman" w:cstheme="minorHAnsi"/>
          <w:b/>
          <w:bCs/>
          <w:sz w:val="24"/>
          <w:szCs w:val="24"/>
          <w:u w:val="single"/>
          <w:lang w:eastAsia="en-CA"/>
        </w:rPr>
        <w:t xml:space="preserve"> Border Measures: Tariffs</w:t>
      </w:r>
      <w:proofErr w:type="gramStart"/>
      <w:r>
        <w:rPr>
          <w:rFonts w:eastAsia="Times New Roman" w:cstheme="minorHAnsi"/>
          <w:b/>
          <w:bCs/>
          <w:sz w:val="24"/>
          <w:szCs w:val="24"/>
          <w:u w:val="single"/>
          <w:lang w:eastAsia="en-CA"/>
        </w:rPr>
        <w:t>,  Quotas</w:t>
      </w:r>
      <w:proofErr w:type="gramEnd"/>
      <w:r>
        <w:rPr>
          <w:rFonts w:eastAsia="Times New Roman" w:cstheme="minorHAnsi"/>
          <w:b/>
          <w:bCs/>
          <w:sz w:val="24"/>
          <w:szCs w:val="24"/>
          <w:u w:val="single"/>
          <w:lang w:eastAsia="en-CA"/>
        </w:rPr>
        <w:t xml:space="preserve"> and Non-Tariff Barriers</w:t>
      </w:r>
      <w:r w:rsidRPr="003009BA">
        <w:rPr>
          <w:rFonts w:eastAsia="Times New Roman" w:cstheme="minorHAnsi"/>
          <w:b/>
          <w:bCs/>
          <w:i/>
          <w:iCs/>
          <w:sz w:val="24"/>
          <w:szCs w:val="24"/>
          <w:lang w:eastAsia="en-CA"/>
        </w:rPr>
        <w:t> </w:t>
      </w:r>
      <w:r w:rsidRPr="003009BA">
        <w:rPr>
          <w:rFonts w:eastAsia="Times New Roman" w:cstheme="minorHAnsi"/>
          <w:sz w:val="24"/>
          <w:szCs w:val="24"/>
          <w:lang w:eastAsia="en-CA"/>
        </w:rPr>
        <w:t xml:space="preserve">  </w:t>
      </w:r>
      <w:r w:rsidRPr="003009BA">
        <w:rPr>
          <w:rFonts w:eastAsia="Times New Roman" w:cstheme="minorHAnsi"/>
          <w:i/>
          <w:iCs/>
          <w:sz w:val="24"/>
          <w:szCs w:val="24"/>
          <w:lang w:eastAsia="en-CA"/>
        </w:rPr>
        <w:t>week 5</w:t>
      </w:r>
    </w:p>
    <w:p w:rsidR="00D5006C" w:rsidRDefault="00D5006C" w:rsidP="00D5006C">
      <w:pPr>
        <w:spacing w:before="100" w:beforeAutospacing="1" w:after="100" w:afterAutospacing="1" w:line="240" w:lineRule="auto"/>
        <w:rPr>
          <w:rFonts w:eastAsia="Times New Roman" w:cstheme="minorHAnsi"/>
          <w:i/>
          <w:iCs/>
          <w:sz w:val="24"/>
          <w:szCs w:val="24"/>
          <w:lang w:eastAsia="en-CA"/>
        </w:rPr>
      </w:pPr>
      <w:r w:rsidRPr="00DE12EA">
        <w:rPr>
          <w:rFonts w:eastAsia="Times New Roman" w:cstheme="minorHAnsi"/>
          <w:b/>
          <w:bCs/>
          <w:sz w:val="24"/>
          <w:szCs w:val="24"/>
          <w:u w:val="single"/>
          <w:lang w:eastAsia="en-CA"/>
        </w:rPr>
        <w:t xml:space="preserve">5. </w:t>
      </w:r>
      <w:r>
        <w:rPr>
          <w:rFonts w:eastAsia="Times New Roman" w:cstheme="minorHAnsi"/>
          <w:b/>
          <w:bCs/>
          <w:sz w:val="24"/>
          <w:szCs w:val="24"/>
          <w:u w:val="single"/>
          <w:lang w:eastAsia="en-CA"/>
        </w:rPr>
        <w:t>Technical</w:t>
      </w:r>
      <w:r w:rsidRPr="00DE12EA">
        <w:rPr>
          <w:rFonts w:eastAsia="Times New Roman" w:cstheme="minorHAnsi"/>
          <w:b/>
          <w:bCs/>
          <w:sz w:val="24"/>
          <w:szCs w:val="24"/>
          <w:u w:val="single"/>
          <w:lang w:eastAsia="en-CA"/>
        </w:rPr>
        <w:t xml:space="preserve"> Barriers</w:t>
      </w:r>
      <w:r>
        <w:rPr>
          <w:rFonts w:eastAsia="Times New Roman" w:cstheme="minorHAnsi"/>
          <w:b/>
          <w:bCs/>
          <w:sz w:val="24"/>
          <w:szCs w:val="24"/>
          <w:u w:val="single"/>
          <w:lang w:eastAsia="en-CA"/>
        </w:rPr>
        <w:t>: SPS and TBT</w:t>
      </w:r>
      <w:r w:rsidRPr="00DE12EA">
        <w:rPr>
          <w:rFonts w:eastAsia="Times New Roman" w:cstheme="minorHAnsi"/>
          <w:b/>
          <w:bCs/>
          <w:i/>
          <w:iCs/>
          <w:sz w:val="24"/>
          <w:szCs w:val="24"/>
          <w:lang w:eastAsia="en-CA"/>
        </w:rPr>
        <w:t> </w:t>
      </w:r>
      <w:r w:rsidRPr="00DE12EA">
        <w:rPr>
          <w:rFonts w:eastAsia="Times New Roman" w:cstheme="minorHAnsi"/>
          <w:sz w:val="24"/>
          <w:szCs w:val="24"/>
          <w:lang w:eastAsia="en-CA"/>
        </w:rPr>
        <w:t xml:space="preserve">  </w:t>
      </w:r>
      <w:r w:rsidRPr="00DE12EA">
        <w:rPr>
          <w:rFonts w:eastAsia="Times New Roman" w:cstheme="minorHAnsi"/>
          <w:i/>
          <w:iCs/>
          <w:sz w:val="24"/>
          <w:szCs w:val="24"/>
          <w:lang w:eastAsia="en-CA"/>
        </w:rPr>
        <w:t>week 5</w:t>
      </w:r>
    </w:p>
    <w:p w:rsidR="00D5006C" w:rsidRDefault="00D5006C" w:rsidP="00D5006C">
      <w:pPr>
        <w:spacing w:before="100" w:beforeAutospacing="1" w:after="100" w:afterAutospacing="1" w:line="240" w:lineRule="auto"/>
        <w:rPr>
          <w:rFonts w:eastAsia="Times New Roman" w:cstheme="minorHAnsi"/>
          <w:i/>
          <w:iCs/>
          <w:sz w:val="24"/>
          <w:szCs w:val="24"/>
          <w:lang w:eastAsia="en-CA"/>
        </w:rPr>
      </w:pPr>
      <w:r>
        <w:rPr>
          <w:rFonts w:eastAsia="Times New Roman" w:cstheme="minorHAnsi"/>
          <w:b/>
          <w:bCs/>
          <w:sz w:val="24"/>
          <w:szCs w:val="24"/>
          <w:u w:val="single"/>
          <w:lang w:eastAsia="en-CA"/>
        </w:rPr>
        <w:t>6</w:t>
      </w:r>
      <w:r w:rsidRPr="0011580F">
        <w:rPr>
          <w:rFonts w:eastAsia="Times New Roman" w:cstheme="minorHAnsi"/>
          <w:b/>
          <w:bCs/>
          <w:sz w:val="24"/>
          <w:szCs w:val="24"/>
          <w:u w:val="single"/>
          <w:lang w:eastAsia="en-CA"/>
        </w:rPr>
        <w:t xml:space="preserve">. </w:t>
      </w:r>
      <w:r>
        <w:rPr>
          <w:rFonts w:eastAsia="Times New Roman" w:cstheme="minorHAnsi"/>
          <w:b/>
          <w:bCs/>
          <w:sz w:val="24"/>
          <w:szCs w:val="24"/>
          <w:u w:val="single"/>
          <w:lang w:eastAsia="en-CA"/>
        </w:rPr>
        <w:t>Exceptions</w:t>
      </w:r>
      <w:r w:rsidRPr="0011580F">
        <w:rPr>
          <w:rFonts w:eastAsia="Times New Roman" w:cstheme="minorHAnsi"/>
          <w:b/>
          <w:bCs/>
          <w:i/>
          <w:iCs/>
          <w:sz w:val="24"/>
          <w:szCs w:val="24"/>
          <w:lang w:eastAsia="en-CA"/>
        </w:rPr>
        <w:t> </w:t>
      </w:r>
      <w:r w:rsidRPr="0011580F">
        <w:rPr>
          <w:rFonts w:eastAsia="Times New Roman" w:cstheme="minorHAnsi"/>
          <w:sz w:val="24"/>
          <w:szCs w:val="24"/>
          <w:lang w:eastAsia="en-CA"/>
        </w:rPr>
        <w:t xml:space="preserve">  </w:t>
      </w:r>
      <w:r w:rsidRPr="0011580F">
        <w:rPr>
          <w:rFonts w:eastAsia="Times New Roman" w:cstheme="minorHAnsi"/>
          <w:i/>
          <w:iCs/>
          <w:sz w:val="24"/>
          <w:szCs w:val="24"/>
          <w:lang w:eastAsia="en-CA"/>
        </w:rPr>
        <w:t xml:space="preserve">week </w:t>
      </w:r>
      <w:r>
        <w:rPr>
          <w:rFonts w:eastAsia="Times New Roman" w:cstheme="minorHAnsi"/>
          <w:i/>
          <w:iCs/>
          <w:sz w:val="24"/>
          <w:szCs w:val="24"/>
          <w:lang w:eastAsia="en-CA"/>
        </w:rPr>
        <w:t>6</w:t>
      </w:r>
    </w:p>
    <w:p w:rsidR="00D5006C" w:rsidRDefault="00D5006C" w:rsidP="00D5006C">
      <w:pPr>
        <w:spacing w:before="100" w:beforeAutospacing="1" w:after="100" w:afterAutospacing="1" w:line="240" w:lineRule="auto"/>
        <w:rPr>
          <w:rFonts w:eastAsia="Times New Roman" w:cstheme="minorHAnsi"/>
          <w:i/>
          <w:iCs/>
          <w:sz w:val="24"/>
          <w:szCs w:val="24"/>
          <w:lang w:eastAsia="en-CA"/>
        </w:rPr>
      </w:pPr>
      <w:r>
        <w:rPr>
          <w:rFonts w:eastAsia="Times New Roman" w:cstheme="minorHAnsi"/>
          <w:b/>
          <w:bCs/>
          <w:sz w:val="24"/>
          <w:szCs w:val="24"/>
          <w:u w:val="single"/>
          <w:lang w:eastAsia="en-CA"/>
        </w:rPr>
        <w:t>7</w:t>
      </w:r>
      <w:r w:rsidRPr="0011580F">
        <w:rPr>
          <w:rFonts w:eastAsia="Times New Roman" w:cstheme="minorHAnsi"/>
          <w:b/>
          <w:bCs/>
          <w:sz w:val="24"/>
          <w:szCs w:val="24"/>
          <w:u w:val="single"/>
          <w:lang w:eastAsia="en-CA"/>
        </w:rPr>
        <w:t xml:space="preserve">. </w:t>
      </w:r>
      <w:r w:rsidRPr="00996960">
        <w:rPr>
          <w:rFonts w:eastAsia="Times New Roman" w:cstheme="minorHAnsi"/>
          <w:b/>
          <w:bCs/>
          <w:i/>
          <w:iCs/>
          <w:sz w:val="24"/>
          <w:szCs w:val="24"/>
          <w:u w:val="single"/>
          <w:lang w:eastAsia="en-CA"/>
        </w:rPr>
        <w:t>The</w:t>
      </w:r>
      <w:r>
        <w:rPr>
          <w:rFonts w:eastAsia="Times New Roman" w:cstheme="minorHAnsi"/>
          <w:b/>
          <w:bCs/>
          <w:sz w:val="24"/>
          <w:szCs w:val="24"/>
          <w:u w:val="single"/>
          <w:lang w:eastAsia="en-CA"/>
        </w:rPr>
        <w:t xml:space="preserve"> Exception: Regional and Preferential </w:t>
      </w:r>
      <w:proofErr w:type="gramStart"/>
      <w:r>
        <w:rPr>
          <w:rFonts w:eastAsia="Times New Roman" w:cstheme="minorHAnsi"/>
          <w:b/>
          <w:bCs/>
          <w:sz w:val="24"/>
          <w:szCs w:val="24"/>
          <w:u w:val="single"/>
          <w:lang w:eastAsia="en-CA"/>
        </w:rPr>
        <w:t xml:space="preserve">Trade  </w:t>
      </w:r>
      <w:r w:rsidRPr="0011580F">
        <w:rPr>
          <w:rFonts w:eastAsia="Times New Roman" w:cstheme="minorHAnsi"/>
          <w:i/>
          <w:iCs/>
          <w:sz w:val="24"/>
          <w:szCs w:val="24"/>
          <w:lang w:eastAsia="en-CA"/>
        </w:rPr>
        <w:t>week</w:t>
      </w:r>
      <w:proofErr w:type="gramEnd"/>
      <w:r w:rsidRPr="0011580F">
        <w:rPr>
          <w:rFonts w:eastAsia="Times New Roman" w:cstheme="minorHAnsi"/>
          <w:i/>
          <w:iCs/>
          <w:sz w:val="24"/>
          <w:szCs w:val="24"/>
          <w:lang w:eastAsia="en-CA"/>
        </w:rPr>
        <w:t xml:space="preserve"> </w:t>
      </w:r>
      <w:r>
        <w:rPr>
          <w:rFonts w:eastAsia="Times New Roman" w:cstheme="minorHAnsi"/>
          <w:i/>
          <w:iCs/>
          <w:sz w:val="24"/>
          <w:szCs w:val="24"/>
          <w:lang w:eastAsia="en-CA"/>
        </w:rPr>
        <w:t>7</w:t>
      </w:r>
    </w:p>
    <w:p w:rsidR="00D5006C" w:rsidRDefault="00D5006C" w:rsidP="00D5006C">
      <w:pPr>
        <w:spacing w:before="100" w:beforeAutospacing="1" w:after="100" w:afterAutospacing="1" w:line="240" w:lineRule="auto"/>
        <w:rPr>
          <w:rFonts w:eastAsia="Times New Roman" w:cstheme="minorHAnsi"/>
          <w:i/>
          <w:iCs/>
          <w:sz w:val="24"/>
          <w:szCs w:val="24"/>
          <w:lang w:eastAsia="en-CA"/>
        </w:rPr>
      </w:pPr>
      <w:r>
        <w:rPr>
          <w:rFonts w:eastAsia="Times New Roman" w:cstheme="minorHAnsi"/>
          <w:b/>
          <w:bCs/>
          <w:sz w:val="24"/>
          <w:szCs w:val="24"/>
          <w:u w:val="single"/>
          <w:lang w:eastAsia="en-CA"/>
        </w:rPr>
        <w:t>8.</w:t>
      </w:r>
      <w:r w:rsidRPr="0011580F">
        <w:rPr>
          <w:rFonts w:eastAsia="Times New Roman" w:cstheme="minorHAnsi"/>
          <w:b/>
          <w:bCs/>
          <w:sz w:val="24"/>
          <w:szCs w:val="24"/>
          <w:u w:val="single"/>
          <w:lang w:eastAsia="en-CA"/>
        </w:rPr>
        <w:t xml:space="preserve"> </w:t>
      </w:r>
      <w:r>
        <w:rPr>
          <w:rFonts w:eastAsia="Times New Roman" w:cstheme="minorHAnsi"/>
          <w:b/>
          <w:bCs/>
          <w:sz w:val="24"/>
          <w:szCs w:val="24"/>
          <w:u w:val="single"/>
          <w:lang w:eastAsia="en-CA"/>
        </w:rPr>
        <w:t xml:space="preserve">Dumping, Subsidies </w:t>
      </w:r>
      <w:proofErr w:type="gramStart"/>
      <w:r>
        <w:rPr>
          <w:rFonts w:eastAsia="Times New Roman" w:cstheme="minorHAnsi"/>
          <w:b/>
          <w:bCs/>
          <w:sz w:val="24"/>
          <w:szCs w:val="24"/>
          <w:u w:val="single"/>
          <w:lang w:eastAsia="en-CA"/>
        </w:rPr>
        <w:t>and  Safeguard</w:t>
      </w:r>
      <w:proofErr w:type="gramEnd"/>
      <w:r>
        <w:rPr>
          <w:rFonts w:eastAsia="Times New Roman" w:cstheme="minorHAnsi"/>
          <w:b/>
          <w:bCs/>
          <w:sz w:val="24"/>
          <w:szCs w:val="24"/>
          <w:u w:val="single"/>
          <w:lang w:eastAsia="en-CA"/>
        </w:rPr>
        <w:t xml:space="preserve"> Measures </w:t>
      </w:r>
      <w:r w:rsidRPr="0011580F">
        <w:rPr>
          <w:rFonts w:eastAsia="Times New Roman" w:cstheme="minorHAnsi"/>
          <w:i/>
          <w:iCs/>
          <w:sz w:val="24"/>
          <w:szCs w:val="24"/>
          <w:lang w:eastAsia="en-CA"/>
        </w:rPr>
        <w:t xml:space="preserve">week </w:t>
      </w:r>
      <w:r>
        <w:rPr>
          <w:rFonts w:eastAsia="Times New Roman" w:cstheme="minorHAnsi"/>
          <w:i/>
          <w:iCs/>
          <w:sz w:val="24"/>
          <w:szCs w:val="24"/>
          <w:lang w:eastAsia="en-CA"/>
        </w:rPr>
        <w:t>8</w:t>
      </w:r>
    </w:p>
    <w:p w:rsidR="00D5006C" w:rsidRDefault="00D5006C" w:rsidP="00D5006C">
      <w:pPr>
        <w:spacing w:before="100" w:beforeAutospacing="1" w:after="100" w:afterAutospacing="1" w:line="240" w:lineRule="auto"/>
        <w:rPr>
          <w:rFonts w:eastAsia="Times New Roman" w:cstheme="minorHAnsi"/>
          <w:i/>
          <w:iCs/>
          <w:sz w:val="24"/>
          <w:szCs w:val="24"/>
          <w:lang w:eastAsia="en-CA"/>
        </w:rPr>
      </w:pPr>
      <w:r>
        <w:rPr>
          <w:rFonts w:eastAsia="Times New Roman" w:cstheme="minorHAnsi"/>
          <w:b/>
          <w:bCs/>
          <w:sz w:val="24"/>
          <w:szCs w:val="24"/>
          <w:u w:val="single"/>
          <w:lang w:eastAsia="en-CA"/>
        </w:rPr>
        <w:t>9.</w:t>
      </w:r>
      <w:r w:rsidRPr="0011580F">
        <w:rPr>
          <w:rFonts w:eastAsia="Times New Roman" w:cstheme="minorHAnsi"/>
          <w:b/>
          <w:bCs/>
          <w:sz w:val="24"/>
          <w:szCs w:val="24"/>
          <w:u w:val="single"/>
          <w:lang w:eastAsia="en-CA"/>
        </w:rPr>
        <w:t xml:space="preserve"> </w:t>
      </w:r>
      <w:r>
        <w:rPr>
          <w:rFonts w:eastAsia="Times New Roman" w:cstheme="minorHAnsi"/>
          <w:b/>
          <w:bCs/>
          <w:sz w:val="24"/>
          <w:szCs w:val="24"/>
          <w:u w:val="single"/>
          <w:lang w:eastAsia="en-CA"/>
        </w:rPr>
        <w:t xml:space="preserve">International Trade and Intellectual Property   </w:t>
      </w:r>
      <w:r w:rsidRPr="0011580F">
        <w:rPr>
          <w:rFonts w:eastAsia="Times New Roman" w:cstheme="minorHAnsi"/>
          <w:i/>
          <w:iCs/>
          <w:sz w:val="24"/>
          <w:szCs w:val="24"/>
          <w:lang w:eastAsia="en-CA"/>
        </w:rPr>
        <w:t xml:space="preserve">week </w:t>
      </w:r>
      <w:r>
        <w:rPr>
          <w:rFonts w:eastAsia="Times New Roman" w:cstheme="minorHAnsi"/>
          <w:i/>
          <w:iCs/>
          <w:sz w:val="24"/>
          <w:szCs w:val="24"/>
          <w:lang w:eastAsia="en-CA"/>
        </w:rPr>
        <w:t>9</w:t>
      </w:r>
    </w:p>
    <w:p w:rsidR="00D5006C" w:rsidRDefault="00D5006C" w:rsidP="00D5006C">
      <w:pPr>
        <w:spacing w:before="100" w:beforeAutospacing="1" w:after="100" w:afterAutospacing="1" w:line="240" w:lineRule="auto"/>
        <w:rPr>
          <w:rFonts w:eastAsia="Times New Roman" w:cstheme="minorHAnsi"/>
          <w:i/>
          <w:iCs/>
          <w:sz w:val="24"/>
          <w:szCs w:val="24"/>
          <w:lang w:eastAsia="en-CA"/>
        </w:rPr>
      </w:pPr>
      <w:r>
        <w:rPr>
          <w:rFonts w:eastAsia="Times New Roman" w:cstheme="minorHAnsi"/>
          <w:b/>
          <w:bCs/>
          <w:sz w:val="24"/>
          <w:szCs w:val="24"/>
          <w:u w:val="single"/>
          <w:lang w:eastAsia="en-CA"/>
        </w:rPr>
        <w:t>10.</w:t>
      </w:r>
      <w:r w:rsidRPr="0011580F">
        <w:rPr>
          <w:rFonts w:eastAsia="Times New Roman" w:cstheme="minorHAnsi"/>
          <w:b/>
          <w:bCs/>
          <w:sz w:val="24"/>
          <w:szCs w:val="24"/>
          <w:u w:val="single"/>
          <w:lang w:eastAsia="en-CA"/>
        </w:rPr>
        <w:t xml:space="preserve"> </w:t>
      </w:r>
      <w:r>
        <w:rPr>
          <w:rFonts w:eastAsia="Times New Roman" w:cstheme="minorHAnsi"/>
          <w:b/>
          <w:bCs/>
          <w:sz w:val="24"/>
          <w:szCs w:val="24"/>
          <w:u w:val="single"/>
          <w:lang w:eastAsia="en-CA"/>
        </w:rPr>
        <w:t xml:space="preserve">The Dispute Settlement System </w:t>
      </w:r>
      <w:r w:rsidRPr="0011580F">
        <w:rPr>
          <w:rFonts w:eastAsia="Times New Roman" w:cstheme="minorHAnsi"/>
          <w:i/>
          <w:iCs/>
          <w:sz w:val="24"/>
          <w:szCs w:val="24"/>
          <w:lang w:eastAsia="en-CA"/>
        </w:rPr>
        <w:t xml:space="preserve">week </w:t>
      </w:r>
      <w:r>
        <w:rPr>
          <w:rFonts w:eastAsia="Times New Roman" w:cstheme="minorHAnsi"/>
          <w:i/>
          <w:iCs/>
          <w:sz w:val="24"/>
          <w:szCs w:val="24"/>
          <w:lang w:eastAsia="en-CA"/>
        </w:rPr>
        <w:t>10</w:t>
      </w:r>
    </w:p>
    <w:p w:rsidR="00D5006C" w:rsidRDefault="00D5006C" w:rsidP="00D5006C">
      <w:pPr>
        <w:spacing w:before="100" w:beforeAutospacing="1" w:after="100" w:afterAutospacing="1" w:line="240" w:lineRule="auto"/>
        <w:rPr>
          <w:rFonts w:eastAsia="Times New Roman" w:cstheme="minorHAnsi"/>
          <w:b/>
          <w:bCs/>
          <w:sz w:val="24"/>
          <w:szCs w:val="24"/>
          <w:u w:val="single"/>
          <w:lang w:eastAsia="en-CA"/>
        </w:rPr>
      </w:pPr>
      <w:r>
        <w:rPr>
          <w:rFonts w:eastAsia="Times New Roman" w:cstheme="minorHAnsi"/>
          <w:b/>
          <w:bCs/>
          <w:sz w:val="24"/>
          <w:szCs w:val="24"/>
          <w:u w:val="single"/>
          <w:lang w:eastAsia="en-CA"/>
        </w:rPr>
        <w:t>11.</w:t>
      </w:r>
      <w:r w:rsidRPr="0011580F">
        <w:rPr>
          <w:rFonts w:eastAsia="Times New Roman" w:cstheme="minorHAnsi"/>
          <w:b/>
          <w:bCs/>
          <w:sz w:val="24"/>
          <w:szCs w:val="24"/>
          <w:u w:val="single"/>
          <w:lang w:eastAsia="en-CA"/>
        </w:rPr>
        <w:t xml:space="preserve"> </w:t>
      </w:r>
      <w:r>
        <w:rPr>
          <w:rFonts w:eastAsia="Times New Roman" w:cstheme="minorHAnsi"/>
          <w:b/>
          <w:bCs/>
          <w:sz w:val="24"/>
          <w:szCs w:val="24"/>
          <w:u w:val="single"/>
          <w:lang w:eastAsia="en-CA"/>
        </w:rPr>
        <w:t xml:space="preserve">Jordan’s FTAs </w:t>
      </w:r>
      <w:r w:rsidRPr="0011580F">
        <w:rPr>
          <w:rFonts w:eastAsia="Times New Roman" w:cstheme="minorHAnsi"/>
          <w:i/>
          <w:iCs/>
          <w:sz w:val="24"/>
          <w:szCs w:val="24"/>
          <w:lang w:eastAsia="en-CA"/>
        </w:rPr>
        <w:t xml:space="preserve">week </w:t>
      </w:r>
      <w:r>
        <w:rPr>
          <w:rFonts w:eastAsia="Times New Roman" w:cstheme="minorHAnsi"/>
          <w:i/>
          <w:iCs/>
          <w:sz w:val="24"/>
          <w:szCs w:val="24"/>
          <w:lang w:eastAsia="en-CA"/>
        </w:rPr>
        <w:t>11</w:t>
      </w:r>
    </w:p>
    <w:p w:rsidR="00D5006C" w:rsidRDefault="00D5006C" w:rsidP="00D5006C">
      <w:pPr>
        <w:spacing w:before="100" w:beforeAutospacing="1" w:after="100" w:afterAutospacing="1" w:line="240" w:lineRule="auto"/>
        <w:rPr>
          <w:rFonts w:eastAsia="Times New Roman" w:cstheme="minorHAnsi"/>
          <w:b/>
          <w:bCs/>
          <w:sz w:val="24"/>
          <w:szCs w:val="24"/>
          <w:u w:val="single"/>
          <w:lang w:eastAsia="en-CA"/>
        </w:rPr>
      </w:pPr>
      <w:r>
        <w:rPr>
          <w:rFonts w:eastAsia="Times New Roman" w:cstheme="minorHAnsi"/>
          <w:b/>
          <w:bCs/>
          <w:sz w:val="24"/>
          <w:szCs w:val="24"/>
          <w:u w:val="single"/>
          <w:lang w:eastAsia="en-CA"/>
        </w:rPr>
        <w:t xml:space="preserve">12. Jordan’s FTAs </w:t>
      </w:r>
      <w:r w:rsidRPr="0011580F">
        <w:rPr>
          <w:rFonts w:eastAsia="Times New Roman" w:cstheme="minorHAnsi"/>
          <w:i/>
          <w:iCs/>
          <w:sz w:val="24"/>
          <w:szCs w:val="24"/>
          <w:lang w:eastAsia="en-CA"/>
        </w:rPr>
        <w:t xml:space="preserve">week </w:t>
      </w:r>
      <w:r>
        <w:rPr>
          <w:rFonts w:eastAsia="Times New Roman" w:cstheme="minorHAnsi"/>
          <w:i/>
          <w:iCs/>
          <w:sz w:val="24"/>
          <w:szCs w:val="24"/>
          <w:lang w:eastAsia="en-CA"/>
        </w:rPr>
        <w:t>12</w:t>
      </w:r>
    </w:p>
    <w:p w:rsidR="00D5006C" w:rsidRPr="0011580F" w:rsidRDefault="00D5006C" w:rsidP="00325636">
      <w:pPr>
        <w:spacing w:before="100" w:beforeAutospacing="1" w:after="100" w:afterAutospacing="1" w:line="240" w:lineRule="auto"/>
        <w:rPr>
          <w:rFonts w:eastAsia="Times New Roman" w:cstheme="minorHAnsi"/>
          <w:sz w:val="24"/>
          <w:szCs w:val="24"/>
          <w:lang w:eastAsia="en-CA"/>
        </w:rPr>
      </w:pPr>
      <w:r>
        <w:rPr>
          <w:rFonts w:eastAsia="Times New Roman" w:cstheme="minorHAnsi"/>
          <w:b/>
          <w:bCs/>
          <w:sz w:val="24"/>
          <w:szCs w:val="24"/>
          <w:u w:val="single"/>
          <w:lang w:eastAsia="en-CA"/>
        </w:rPr>
        <w:t xml:space="preserve">13. Perspectives and Prospects </w:t>
      </w:r>
      <w:r w:rsidRPr="0011580F">
        <w:rPr>
          <w:rFonts w:eastAsia="Times New Roman" w:cstheme="minorHAnsi"/>
          <w:i/>
          <w:iCs/>
          <w:sz w:val="24"/>
          <w:szCs w:val="24"/>
          <w:lang w:eastAsia="en-CA"/>
        </w:rPr>
        <w:t xml:space="preserve">week </w:t>
      </w:r>
      <w:r>
        <w:rPr>
          <w:rFonts w:eastAsia="Times New Roman" w:cstheme="minorHAnsi"/>
          <w:i/>
          <w:iCs/>
          <w:sz w:val="24"/>
          <w:szCs w:val="24"/>
          <w:lang w:eastAsia="en-CA"/>
        </w:rPr>
        <w:t>13</w:t>
      </w:r>
      <w:r w:rsidR="00325636">
        <w:rPr>
          <w:rFonts w:eastAsia="Times New Roman" w:cstheme="minorHAnsi"/>
          <w:i/>
          <w:iCs/>
          <w:sz w:val="24"/>
          <w:szCs w:val="24"/>
          <w:lang w:eastAsia="en-CA"/>
        </w:rPr>
        <w:t xml:space="preserve">  </w:t>
      </w:r>
    </w:p>
    <w:p w:rsidR="005B55AD" w:rsidRDefault="005B55AD"/>
    <w:sectPr w:rsidR="005B55AD" w:rsidSect="00BF29C6">
      <w:headerReference w:type="default" r:id="rId14"/>
      <w:footerReference w:type="default" r:id="rId1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F90" w:rsidRDefault="00314F90">
      <w:pPr>
        <w:spacing w:after="0" w:line="240" w:lineRule="auto"/>
      </w:pPr>
      <w:r>
        <w:separator/>
      </w:r>
    </w:p>
  </w:endnote>
  <w:endnote w:type="continuationSeparator" w:id="0">
    <w:p w:rsidR="00314F90" w:rsidRDefault="0031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585531"/>
      <w:docPartObj>
        <w:docPartGallery w:val="Page Numbers (Bottom of Page)"/>
        <w:docPartUnique/>
      </w:docPartObj>
    </w:sdtPr>
    <w:sdtEndPr/>
    <w:sdtContent>
      <w:p w:rsidR="003009BA" w:rsidRDefault="00CC645D">
        <w:pPr>
          <w:pStyle w:val="Footer"/>
          <w:jc w:val="center"/>
        </w:pPr>
        <w:r>
          <w:fldChar w:fldCharType="begin"/>
        </w:r>
        <w:r>
          <w:instrText xml:space="preserve"> PAGE   \* MERGEFORMAT </w:instrText>
        </w:r>
        <w:r>
          <w:fldChar w:fldCharType="separate"/>
        </w:r>
        <w:r w:rsidR="000F1B2A">
          <w:rPr>
            <w:noProof/>
          </w:rPr>
          <w:t>2</w:t>
        </w:r>
        <w:r>
          <w:fldChar w:fldCharType="end"/>
        </w:r>
      </w:p>
    </w:sdtContent>
  </w:sdt>
  <w:p w:rsidR="003009BA" w:rsidRDefault="000F1B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F90" w:rsidRDefault="00314F90">
      <w:pPr>
        <w:spacing w:after="0" w:line="240" w:lineRule="auto"/>
      </w:pPr>
      <w:r>
        <w:separator/>
      </w:r>
    </w:p>
  </w:footnote>
  <w:footnote w:type="continuationSeparator" w:id="0">
    <w:p w:rsidR="00314F90" w:rsidRDefault="00314F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9BA" w:rsidRPr="00BF29C6" w:rsidRDefault="00CC645D" w:rsidP="00BF29C6">
    <w:pPr>
      <w:pStyle w:val="Header"/>
      <w:jc w:val="right"/>
      <w:rPr>
        <w:rFonts w:asciiTheme="minorHAnsi" w:hAnsiTheme="minorHAnsi" w:cstheme="minorHAnsi"/>
        <w:lang w:val="en-CA"/>
      </w:rPr>
    </w:pPr>
    <w:r>
      <w:rPr>
        <w:rFonts w:asciiTheme="minorHAnsi" w:hAnsiTheme="minorHAnsi" w:cstheme="minorHAnsi"/>
        <w:lang w:val="en-CA"/>
      </w:rPr>
      <w:t xml:space="preserve">Professor </w:t>
    </w:r>
    <w:r w:rsidRPr="00BF29C6">
      <w:rPr>
        <w:rFonts w:asciiTheme="minorHAnsi" w:hAnsiTheme="minorHAnsi" w:cstheme="minorHAnsi"/>
        <w:lang w:val="en-CA"/>
      </w:rPr>
      <w:t xml:space="preserve">Mohammad F. A. </w:t>
    </w:r>
    <w:proofErr w:type="spellStart"/>
    <w:r w:rsidRPr="00BF29C6">
      <w:rPr>
        <w:rFonts w:asciiTheme="minorHAnsi" w:hAnsiTheme="minorHAnsi" w:cstheme="minorHAnsi"/>
        <w:lang w:val="en-CA"/>
      </w:rPr>
      <w:t>Nsour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313B7"/>
    <w:multiLevelType w:val="hybridMultilevel"/>
    <w:tmpl w:val="EAD6B3A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nsid w:val="2B2D0E25"/>
    <w:multiLevelType w:val="hybridMultilevel"/>
    <w:tmpl w:val="DD6869E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nsid w:val="35386300"/>
    <w:multiLevelType w:val="hybridMultilevel"/>
    <w:tmpl w:val="82D6EF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4E14191D"/>
    <w:multiLevelType w:val="hybridMultilevel"/>
    <w:tmpl w:val="43B6F44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nsid w:val="7FA959D4"/>
    <w:multiLevelType w:val="hybridMultilevel"/>
    <w:tmpl w:val="DAD2244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06C"/>
    <w:rsid w:val="000F1B2A"/>
    <w:rsid w:val="00314F90"/>
    <w:rsid w:val="00325636"/>
    <w:rsid w:val="005B55AD"/>
    <w:rsid w:val="00CC645D"/>
    <w:rsid w:val="00D5006C"/>
    <w:rsid w:val="00EB704D"/>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D5006C"/>
    <w:pPr>
      <w:keepNext/>
      <w:tabs>
        <w:tab w:val="right" w:pos="9360"/>
      </w:tabs>
      <w:spacing w:after="0" w:line="240" w:lineRule="auto"/>
      <w:outlineLvl w:val="1"/>
    </w:pPr>
    <w:rPr>
      <w:rFonts w:ascii="Times New Roman" w:eastAsia="Times New Roman"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5006C"/>
    <w:rPr>
      <w:rFonts w:ascii="Times New Roman" w:eastAsia="Times New Roman" w:hAnsi="Times New Roman" w:cs="Times New Roman"/>
      <w:b/>
      <w:sz w:val="24"/>
      <w:szCs w:val="20"/>
      <w:lang w:val="en-US"/>
    </w:rPr>
  </w:style>
  <w:style w:type="character" w:styleId="Hyperlink">
    <w:name w:val="Hyperlink"/>
    <w:basedOn w:val="DefaultParagraphFont"/>
    <w:uiPriority w:val="99"/>
    <w:unhideWhenUsed/>
    <w:rsid w:val="00D5006C"/>
    <w:rPr>
      <w:color w:val="0000FF"/>
      <w:u w:val="single"/>
    </w:rPr>
  </w:style>
  <w:style w:type="paragraph" w:styleId="Header">
    <w:name w:val="header"/>
    <w:basedOn w:val="Normal"/>
    <w:link w:val="HeaderChar"/>
    <w:rsid w:val="00D5006C"/>
    <w:pPr>
      <w:tabs>
        <w:tab w:val="center" w:pos="4320"/>
        <w:tab w:val="right" w:pos="8640"/>
      </w:tabs>
      <w:spacing w:after="0" w:line="240" w:lineRule="auto"/>
    </w:pPr>
    <w:rPr>
      <w:rFonts w:ascii="Times New Roman" w:eastAsia="Times New Roman" w:hAnsi="Times New Roman" w:cs="Times New Roman"/>
      <w:sz w:val="24"/>
      <w:szCs w:val="20"/>
      <w:lang w:val="en-US"/>
    </w:rPr>
  </w:style>
  <w:style w:type="character" w:customStyle="1" w:styleId="HeaderChar">
    <w:name w:val="Header Char"/>
    <w:basedOn w:val="DefaultParagraphFont"/>
    <w:link w:val="Header"/>
    <w:rsid w:val="00D5006C"/>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D50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06C"/>
  </w:style>
  <w:style w:type="paragraph" w:styleId="ListParagraph">
    <w:name w:val="List Paragraph"/>
    <w:basedOn w:val="Normal"/>
    <w:uiPriority w:val="34"/>
    <w:qFormat/>
    <w:rsid w:val="00D5006C"/>
    <w:pPr>
      <w:ind w:left="720"/>
      <w:contextualSpacing/>
    </w:pPr>
  </w:style>
  <w:style w:type="paragraph" w:styleId="BalloonText">
    <w:name w:val="Balloon Text"/>
    <w:basedOn w:val="Normal"/>
    <w:link w:val="BalloonTextChar"/>
    <w:uiPriority w:val="99"/>
    <w:semiHidden/>
    <w:unhideWhenUsed/>
    <w:rsid w:val="00D500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0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D5006C"/>
    <w:pPr>
      <w:keepNext/>
      <w:tabs>
        <w:tab w:val="right" w:pos="9360"/>
      </w:tabs>
      <w:spacing w:after="0" w:line="240" w:lineRule="auto"/>
      <w:outlineLvl w:val="1"/>
    </w:pPr>
    <w:rPr>
      <w:rFonts w:ascii="Times New Roman" w:eastAsia="Times New Roman"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5006C"/>
    <w:rPr>
      <w:rFonts w:ascii="Times New Roman" w:eastAsia="Times New Roman" w:hAnsi="Times New Roman" w:cs="Times New Roman"/>
      <w:b/>
      <w:sz w:val="24"/>
      <w:szCs w:val="20"/>
      <w:lang w:val="en-US"/>
    </w:rPr>
  </w:style>
  <w:style w:type="character" w:styleId="Hyperlink">
    <w:name w:val="Hyperlink"/>
    <w:basedOn w:val="DefaultParagraphFont"/>
    <w:uiPriority w:val="99"/>
    <w:unhideWhenUsed/>
    <w:rsid w:val="00D5006C"/>
    <w:rPr>
      <w:color w:val="0000FF"/>
      <w:u w:val="single"/>
    </w:rPr>
  </w:style>
  <w:style w:type="paragraph" w:styleId="Header">
    <w:name w:val="header"/>
    <w:basedOn w:val="Normal"/>
    <w:link w:val="HeaderChar"/>
    <w:rsid w:val="00D5006C"/>
    <w:pPr>
      <w:tabs>
        <w:tab w:val="center" w:pos="4320"/>
        <w:tab w:val="right" w:pos="8640"/>
      </w:tabs>
      <w:spacing w:after="0" w:line="240" w:lineRule="auto"/>
    </w:pPr>
    <w:rPr>
      <w:rFonts w:ascii="Times New Roman" w:eastAsia="Times New Roman" w:hAnsi="Times New Roman" w:cs="Times New Roman"/>
      <w:sz w:val="24"/>
      <w:szCs w:val="20"/>
      <w:lang w:val="en-US"/>
    </w:rPr>
  </w:style>
  <w:style w:type="character" w:customStyle="1" w:styleId="HeaderChar">
    <w:name w:val="Header Char"/>
    <w:basedOn w:val="DefaultParagraphFont"/>
    <w:link w:val="Header"/>
    <w:rsid w:val="00D5006C"/>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D50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06C"/>
  </w:style>
  <w:style w:type="paragraph" w:styleId="ListParagraph">
    <w:name w:val="List Paragraph"/>
    <w:basedOn w:val="Normal"/>
    <w:uiPriority w:val="34"/>
    <w:qFormat/>
    <w:rsid w:val="00D5006C"/>
    <w:pPr>
      <w:ind w:left="720"/>
      <w:contextualSpacing/>
    </w:pPr>
  </w:style>
  <w:style w:type="paragraph" w:styleId="BalloonText">
    <w:name w:val="Balloon Text"/>
    <w:basedOn w:val="Normal"/>
    <w:link w:val="BalloonTextChar"/>
    <w:uiPriority w:val="99"/>
    <w:semiHidden/>
    <w:unhideWhenUsed/>
    <w:rsid w:val="00D500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0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to.org/english/thewto_e/whatis_e/inbrief_e/inbr04_e.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wto.org/english/thewto_e/whatis_e/inbrief_e/inbr03_e.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to.org/english/thewto_e/whatis_e/inbrief_e/inbr02_e.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to.org/english/thewto_e/whatis_e/inbrief_e/inbr01_e.htm" TargetMode="External"/><Relationship Id="rId4" Type="http://schemas.openxmlformats.org/officeDocument/2006/relationships/settings" Target="settings.xml"/><Relationship Id="rId9" Type="http://schemas.openxmlformats.org/officeDocument/2006/relationships/hyperlink" Target="http://www.worldtradelaw.ne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Nsour</dc:creator>
  <cp:lastModifiedBy>Chaudhri, Fatima</cp:lastModifiedBy>
  <cp:revision>2</cp:revision>
  <dcterms:created xsi:type="dcterms:W3CDTF">2012-11-19T10:46:00Z</dcterms:created>
  <dcterms:modified xsi:type="dcterms:W3CDTF">2012-11-19T10:46:00Z</dcterms:modified>
</cp:coreProperties>
</file>