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bottom w:val="single" w:sz="4" w:space="0" w:color="auto"/>
        </w:tblBorders>
        <w:tblLook w:val="04A0"/>
      </w:tblPr>
      <w:tblGrid>
        <w:gridCol w:w="9498"/>
      </w:tblGrid>
      <w:tr w:rsidR="006E132A" w:rsidRPr="00C73F70" w:rsidTr="00FF6687">
        <w:trPr>
          <w:trHeight w:val="15404"/>
        </w:trPr>
        <w:tc>
          <w:tcPr>
            <w:tcW w:w="9498" w:type="dxa"/>
            <w:tcBorders>
              <w:bottom w:val="single" w:sz="4" w:space="0" w:color="4F81BD" w:themeColor="accent1"/>
            </w:tcBorders>
          </w:tcPr>
          <w:p w:rsidR="00635E76" w:rsidRPr="00D24230" w:rsidRDefault="00635E76" w:rsidP="00635E76">
            <w:pPr>
              <w:pStyle w:val="Ttulo"/>
              <w:spacing w:after="0"/>
              <w:ind w:right="-14"/>
              <w:contextualSpacing w:val="0"/>
              <w:jc w:val="center"/>
              <w:rPr>
                <w:rFonts w:asciiTheme="minorHAnsi" w:hAnsiTheme="minorHAnsi"/>
                <w:b/>
                <w:color w:val="auto"/>
                <w:sz w:val="18"/>
                <w:szCs w:val="18"/>
                <w:lang w:val="es-ES_tradnl"/>
              </w:rPr>
            </w:pPr>
          </w:p>
          <w:p w:rsidR="00635E76" w:rsidRPr="00D24230" w:rsidRDefault="00635E76" w:rsidP="006E132A">
            <w:pPr>
              <w:pStyle w:val="Ttulo"/>
              <w:spacing w:after="0" w:line="276" w:lineRule="auto"/>
              <w:ind w:right="-18"/>
              <w:contextualSpacing w:val="0"/>
              <w:jc w:val="center"/>
              <w:rPr>
                <w:rFonts w:asciiTheme="minorHAnsi" w:hAnsiTheme="minorHAnsi"/>
                <w:b/>
                <w:color w:val="auto"/>
                <w:sz w:val="18"/>
                <w:szCs w:val="18"/>
                <w:lang w:val="es-ES_tradnl"/>
              </w:rPr>
            </w:pPr>
          </w:p>
          <w:p w:rsidR="00635E76" w:rsidRPr="009B2777" w:rsidRDefault="00635E76" w:rsidP="006E132A">
            <w:pPr>
              <w:pStyle w:val="Ttulo"/>
              <w:spacing w:after="0" w:line="276" w:lineRule="auto"/>
              <w:ind w:right="-18"/>
              <w:contextualSpacing w:val="0"/>
              <w:jc w:val="center"/>
              <w:rPr>
                <w:rFonts w:asciiTheme="majorHAnsi" w:hAnsiTheme="majorHAnsi"/>
                <w:b/>
                <w:color w:val="1F497D" w:themeColor="text2"/>
                <w:sz w:val="32"/>
                <w:szCs w:val="32"/>
                <w:lang w:val="es-ES_tradnl"/>
              </w:rPr>
            </w:pPr>
            <w:r w:rsidRPr="009B2777">
              <w:rPr>
                <w:rFonts w:asciiTheme="majorHAnsi" w:hAnsiTheme="majorHAnsi"/>
                <w:b/>
                <w:color w:val="1F497D" w:themeColor="text2"/>
                <w:sz w:val="32"/>
                <w:szCs w:val="32"/>
                <w:lang w:val="es-ES_tradnl"/>
              </w:rPr>
              <w:t xml:space="preserve">Conferencia </w:t>
            </w:r>
          </w:p>
          <w:p w:rsidR="006E132A" w:rsidRPr="00D57375" w:rsidRDefault="006E132A" w:rsidP="006E132A">
            <w:pPr>
              <w:pStyle w:val="Ttulo"/>
              <w:spacing w:after="0" w:line="276" w:lineRule="auto"/>
              <w:ind w:right="-18"/>
              <w:contextualSpacing w:val="0"/>
              <w:jc w:val="center"/>
              <w:rPr>
                <w:rFonts w:asciiTheme="minorHAnsi" w:hAnsiTheme="minorHAnsi"/>
                <w:color w:val="1F497D" w:themeColor="text2"/>
                <w:sz w:val="28"/>
                <w:szCs w:val="28"/>
                <w:lang w:val="es-ES_tradnl"/>
              </w:rPr>
            </w:pPr>
            <w:r w:rsidRPr="009B2777">
              <w:rPr>
                <w:rFonts w:asciiTheme="majorHAnsi" w:hAnsiTheme="majorHAnsi"/>
                <w:b/>
                <w:color w:val="1F497D" w:themeColor="text2"/>
                <w:sz w:val="28"/>
                <w:szCs w:val="28"/>
                <w:lang w:val="es-ES_tradnl"/>
              </w:rPr>
              <w:t>Deslocalización de servicios y cadenas globales de valor: ¿Nuevos factores de cambios estructurales en América Latina y el Caribe?</w:t>
            </w:r>
            <w:r w:rsidRPr="009B2777">
              <w:rPr>
                <w:rFonts w:asciiTheme="majorHAnsi" w:hAnsiTheme="majorHAnsi"/>
                <w:color w:val="1F497D" w:themeColor="text2"/>
                <w:sz w:val="28"/>
                <w:szCs w:val="28"/>
                <w:lang w:val="es-ES_tradnl"/>
              </w:rPr>
              <w:br/>
            </w:r>
          </w:p>
          <w:p w:rsidR="006E132A" w:rsidRPr="007167D8" w:rsidRDefault="006E132A" w:rsidP="006E132A">
            <w:pPr>
              <w:pStyle w:val="Ttulo"/>
              <w:spacing w:after="0"/>
              <w:ind w:right="-18"/>
              <w:rPr>
                <w:rFonts w:asciiTheme="minorHAnsi" w:hAnsiTheme="minorHAnsi"/>
                <w:i/>
                <w:color w:val="auto"/>
                <w:sz w:val="20"/>
                <w:szCs w:val="20"/>
                <w:lang w:val="es-ES_tradnl"/>
              </w:rPr>
            </w:pPr>
            <w:r w:rsidRPr="007167D8">
              <w:rPr>
                <w:rFonts w:asciiTheme="minorHAnsi" w:hAnsiTheme="minorHAnsi"/>
                <w:i/>
                <w:color w:val="auto"/>
                <w:sz w:val="20"/>
                <w:szCs w:val="20"/>
                <w:lang w:val="es-ES_tradnl"/>
              </w:rPr>
              <w:t>Santiago, Chile</w:t>
            </w:r>
          </w:p>
          <w:p w:rsidR="006E132A" w:rsidRPr="007167D8" w:rsidRDefault="006E132A" w:rsidP="006E132A">
            <w:pPr>
              <w:pStyle w:val="Ttulo"/>
              <w:spacing w:after="0"/>
              <w:ind w:right="-18"/>
              <w:rPr>
                <w:rFonts w:asciiTheme="minorHAnsi" w:hAnsiTheme="minorHAnsi"/>
                <w:i/>
                <w:color w:val="auto"/>
                <w:sz w:val="20"/>
                <w:szCs w:val="20"/>
                <w:lang w:val="es-ES_tradnl"/>
              </w:rPr>
            </w:pPr>
            <w:r w:rsidRPr="007167D8">
              <w:rPr>
                <w:rFonts w:asciiTheme="minorHAnsi" w:hAnsiTheme="minorHAnsi"/>
                <w:i/>
                <w:color w:val="auto"/>
                <w:sz w:val="20"/>
                <w:szCs w:val="20"/>
                <w:lang w:val="es-ES_tradnl"/>
              </w:rPr>
              <w:t>18-19 de Octubre de 2012</w:t>
            </w:r>
          </w:p>
          <w:p w:rsidR="006E132A" w:rsidRPr="007167D8" w:rsidRDefault="006E132A" w:rsidP="006E132A">
            <w:pPr>
              <w:pStyle w:val="Ttulo"/>
              <w:spacing w:after="0"/>
              <w:ind w:right="-18"/>
              <w:contextualSpacing w:val="0"/>
              <w:rPr>
                <w:rFonts w:asciiTheme="minorHAnsi" w:hAnsiTheme="minorHAnsi"/>
                <w:i/>
                <w:color w:val="auto"/>
                <w:sz w:val="20"/>
                <w:szCs w:val="20"/>
                <w:lang w:val="es-ES_tradnl"/>
              </w:rPr>
            </w:pPr>
            <w:r w:rsidRPr="007167D8">
              <w:rPr>
                <w:rFonts w:asciiTheme="minorHAnsi" w:hAnsiTheme="minorHAnsi"/>
                <w:i/>
                <w:color w:val="auto"/>
                <w:sz w:val="20"/>
                <w:szCs w:val="20"/>
                <w:lang w:val="es-ES_tradnl"/>
              </w:rPr>
              <w:t xml:space="preserve">Lugar: </w:t>
            </w:r>
            <w:r w:rsidR="00563E32" w:rsidRPr="007167D8">
              <w:rPr>
                <w:rFonts w:asciiTheme="minorHAnsi" w:hAnsiTheme="minorHAnsi"/>
                <w:i/>
                <w:color w:val="auto"/>
                <w:sz w:val="20"/>
                <w:szCs w:val="20"/>
                <w:lang w:val="es-ES_tradnl"/>
              </w:rPr>
              <w:t>CEPAL - Sala Celso Furtado (plenarias) y Auditorio Enrique V. Iglesias (paralelas)</w:t>
            </w:r>
          </w:p>
          <w:p w:rsidR="006E132A" w:rsidRPr="00D24230" w:rsidRDefault="006E132A" w:rsidP="006E132A">
            <w:pPr>
              <w:spacing w:after="0" w:line="240" w:lineRule="auto"/>
              <w:ind w:right="-18"/>
              <w:rPr>
                <w:rFonts w:asciiTheme="minorHAnsi" w:hAnsiTheme="minorHAnsi"/>
                <w:lang w:val="es-ES_tradnl"/>
              </w:rPr>
            </w:pPr>
          </w:p>
          <w:p w:rsidR="006E132A" w:rsidRPr="00D24230" w:rsidRDefault="006E132A" w:rsidP="00635E76">
            <w:pPr>
              <w:spacing w:before="120" w:after="0" w:line="240" w:lineRule="auto"/>
              <w:ind w:right="-14"/>
              <w:jc w:val="both"/>
              <w:rPr>
                <w:rFonts w:asciiTheme="minorHAnsi" w:hAnsiTheme="minorHAnsi"/>
                <w:lang w:val="es-ES_tradnl"/>
              </w:rPr>
            </w:pPr>
            <w:r w:rsidRPr="00D24230">
              <w:rPr>
                <w:rFonts w:asciiTheme="minorHAnsi" w:hAnsiTheme="minorHAnsi"/>
                <w:lang w:val="es-ES_tradnl"/>
              </w:rPr>
              <w:t>La industria de servicios globales -offshoring- facturó el año pasado más de USD 200 mil millones a nivel mundial, manteniendo un continuo crecimiento apoyado en el proceso de la globalización económica, internacionalización de los mercados de trabajo y la implementación de los nuevos modelos de negocios.</w:t>
            </w:r>
          </w:p>
          <w:p w:rsidR="006E132A" w:rsidRPr="00D24230" w:rsidRDefault="006E132A" w:rsidP="00635E76">
            <w:pPr>
              <w:spacing w:before="120" w:after="0" w:line="240" w:lineRule="auto"/>
              <w:ind w:right="-14"/>
              <w:jc w:val="both"/>
              <w:rPr>
                <w:rFonts w:asciiTheme="minorHAnsi" w:hAnsiTheme="minorHAnsi"/>
                <w:lang w:val="es-ES_tradnl"/>
              </w:rPr>
            </w:pPr>
            <w:r w:rsidRPr="00D24230">
              <w:rPr>
                <w:rFonts w:asciiTheme="minorHAnsi" w:hAnsiTheme="minorHAnsi"/>
                <w:lang w:val="es-ES_tradnl"/>
              </w:rPr>
              <w:t>Impulsada fuertemente por el desarrollo de las tecnologías de información y comunicaciones (TICs), esta industria se inicia en los años noventa con la externalización de los procesos tecnológicos (information technology outsourcing – ITO). Posteriormente se incluyen los procesos empresariales (business process outsourcing – BPO), y llega a abarcar una amplia gama de actividades de mayor valor agregado, tales como procesos de gestión de conocimiento (knowledge process outsourcing – KPO), procesos de investigación y desarrollo (I+D) y hasta los procesos de innovación.</w:t>
            </w:r>
          </w:p>
          <w:p w:rsidR="006E132A" w:rsidRPr="00D24230" w:rsidRDefault="006E132A" w:rsidP="00635E76">
            <w:pPr>
              <w:spacing w:before="120" w:after="0" w:line="240" w:lineRule="auto"/>
              <w:ind w:right="-14"/>
              <w:jc w:val="both"/>
              <w:rPr>
                <w:rFonts w:asciiTheme="minorHAnsi" w:hAnsiTheme="minorHAnsi"/>
                <w:lang w:val="es-ES_tradnl"/>
              </w:rPr>
            </w:pPr>
            <w:r w:rsidRPr="00D24230">
              <w:rPr>
                <w:rFonts w:asciiTheme="minorHAnsi" w:hAnsiTheme="minorHAnsi"/>
                <w:lang w:val="es-ES_tradnl"/>
              </w:rPr>
              <w:t>Con la implementación del modelo global de la entrega (global delivery model) y la masificación de la deslocalización de servicios a través de las cadenas globales de valor, los países en desarrollo tienen por primera vez la oportunidad de contribuir significativamente en la industria mundial de servicios, facilitando así los cambios estructurales necesarios a fin de alcanzar el desarrollo.</w:t>
            </w:r>
          </w:p>
          <w:p w:rsidR="006E132A" w:rsidRPr="00D24230" w:rsidRDefault="006E132A" w:rsidP="00635E76">
            <w:pPr>
              <w:pStyle w:val="Textoindependiente"/>
              <w:widowControl/>
              <w:spacing w:before="120"/>
              <w:ind w:right="-14"/>
              <w:rPr>
                <w:rFonts w:asciiTheme="minorHAnsi" w:hAnsiTheme="minorHAnsi"/>
                <w:szCs w:val="22"/>
                <w:lang w:val="es-ES_tradnl"/>
              </w:rPr>
            </w:pPr>
            <w:r w:rsidRPr="00D24230">
              <w:rPr>
                <w:rFonts w:asciiTheme="minorHAnsi" w:hAnsiTheme="minorHAnsi"/>
                <w:szCs w:val="22"/>
                <w:lang w:val="es-ES_tradnl"/>
              </w:rPr>
              <w:t xml:space="preserve">La organización </w:t>
            </w:r>
            <w:r w:rsidR="00F46879">
              <w:rPr>
                <w:rFonts w:asciiTheme="minorHAnsi" w:hAnsiTheme="minorHAnsi"/>
                <w:szCs w:val="22"/>
                <w:lang w:val="es-ES_tradnl"/>
              </w:rPr>
              <w:t xml:space="preserve">de esta conferencia </w:t>
            </w:r>
            <w:r w:rsidRPr="00D24230">
              <w:rPr>
                <w:rFonts w:asciiTheme="minorHAnsi" w:hAnsiTheme="minorHAnsi"/>
                <w:szCs w:val="22"/>
                <w:lang w:val="es-ES_tradnl"/>
              </w:rPr>
              <w:t>está a cargo de la Cátedra OMC de la Universidad de Chile y la Comisión Económica para América Latina y el Caribe de las Naciones Unidas (CEPAL), en colaboración con las Cátedras de la Organización Mundial de</w:t>
            </w:r>
            <w:r w:rsidR="007C79CF">
              <w:rPr>
                <w:rFonts w:asciiTheme="minorHAnsi" w:hAnsiTheme="minorHAnsi"/>
                <w:szCs w:val="22"/>
                <w:lang w:val="es-ES_tradnl"/>
              </w:rPr>
              <w:t>l</w:t>
            </w:r>
            <w:r w:rsidRPr="00D24230">
              <w:rPr>
                <w:rFonts w:asciiTheme="minorHAnsi" w:hAnsiTheme="minorHAnsi"/>
                <w:szCs w:val="22"/>
                <w:lang w:val="es-ES_tradnl"/>
              </w:rPr>
              <w:t xml:space="preserve"> Comercio (OMC) de Buenos Aires (FLACSO Argentina) y Ciudad de México (ITAM), </w:t>
            </w:r>
            <w:r w:rsidR="00665DB4">
              <w:rPr>
                <w:rFonts w:asciiTheme="minorHAnsi" w:hAnsiTheme="minorHAnsi"/>
                <w:szCs w:val="22"/>
                <w:lang w:val="es-ES_tradnl"/>
              </w:rPr>
              <w:t>y</w:t>
            </w:r>
            <w:r w:rsidR="00665DB4" w:rsidRPr="00D24230">
              <w:rPr>
                <w:rFonts w:asciiTheme="minorHAnsi" w:hAnsiTheme="minorHAnsi"/>
                <w:szCs w:val="22"/>
                <w:lang w:val="es-ES_tradnl"/>
              </w:rPr>
              <w:t xml:space="preserve"> el World Trade Institute (Universidad de Berna, Suiza)</w:t>
            </w:r>
            <w:r w:rsidR="00665DB4">
              <w:rPr>
                <w:rFonts w:asciiTheme="minorHAnsi" w:hAnsiTheme="minorHAnsi"/>
                <w:szCs w:val="22"/>
                <w:lang w:val="es-ES_tradnl"/>
              </w:rPr>
              <w:t xml:space="preserve">. Los organizadores también contaron con el apoyo de </w:t>
            </w:r>
            <w:r w:rsidRPr="00D24230">
              <w:rPr>
                <w:rFonts w:asciiTheme="minorHAnsi" w:hAnsiTheme="minorHAnsi"/>
                <w:szCs w:val="22"/>
                <w:lang w:val="es-ES_tradnl"/>
              </w:rPr>
              <w:t>la Red Latinoamericana y del Caribe para la Investigación en Servicios (REDLAS)</w:t>
            </w:r>
            <w:r w:rsidR="00854CF4">
              <w:rPr>
                <w:rFonts w:asciiTheme="minorHAnsi" w:hAnsiTheme="minorHAnsi"/>
                <w:szCs w:val="22"/>
                <w:lang w:val="es-ES_tradnl"/>
              </w:rPr>
              <w:t>,</w:t>
            </w:r>
            <w:r w:rsidR="00854CF4" w:rsidRPr="00D24230">
              <w:rPr>
                <w:rFonts w:asciiTheme="minorHAnsi" w:hAnsiTheme="minorHAnsi"/>
                <w:szCs w:val="22"/>
                <w:lang w:val="es-ES_tradnl"/>
              </w:rPr>
              <w:t xml:space="preserve"> </w:t>
            </w:r>
            <w:r w:rsidRPr="00D24230">
              <w:rPr>
                <w:rFonts w:asciiTheme="minorHAnsi" w:hAnsiTheme="minorHAnsi"/>
                <w:szCs w:val="22"/>
                <w:lang w:val="es-ES_tradnl"/>
              </w:rPr>
              <w:t>el Ministerio Federal de Cooperación Económica y Desarrollo (BMZ) d</w:t>
            </w:r>
            <w:r w:rsidR="00665DB4">
              <w:rPr>
                <w:rFonts w:asciiTheme="minorHAnsi" w:hAnsiTheme="minorHAnsi"/>
                <w:szCs w:val="22"/>
                <w:lang w:val="es-ES_tradnl"/>
              </w:rPr>
              <w:t>e Alemania (a través de la GIZ) y la Agencia española de cooperación internacional para el desarrollo (AECID).</w:t>
            </w:r>
          </w:p>
          <w:p w:rsidR="00635E76" w:rsidRPr="00D24230" w:rsidRDefault="00635E76" w:rsidP="00635E76">
            <w:pPr>
              <w:pStyle w:val="Textoindependiente"/>
              <w:widowControl/>
              <w:spacing w:before="120"/>
              <w:ind w:right="-18"/>
              <w:rPr>
                <w:rFonts w:asciiTheme="minorHAnsi" w:hAnsiTheme="minorHAnsi"/>
                <w:szCs w:val="22"/>
                <w:lang w:val="es-ES_tradnl"/>
              </w:rPr>
            </w:pPr>
          </w:p>
          <w:p w:rsidR="00635E76" w:rsidRPr="00D24230" w:rsidRDefault="00635E76" w:rsidP="006E132A">
            <w:pPr>
              <w:pStyle w:val="Textoindependiente"/>
              <w:widowControl/>
              <w:spacing w:line="276" w:lineRule="auto"/>
              <w:ind w:right="-18"/>
              <w:rPr>
                <w:rFonts w:asciiTheme="minorHAnsi" w:hAnsiTheme="minorHAnsi"/>
                <w:lang w:val="es-ES_tradnl"/>
              </w:rPr>
            </w:pPr>
          </w:p>
        </w:tc>
      </w:tr>
    </w:tbl>
    <w:p w:rsidR="006E132A" w:rsidRDefault="006E132A" w:rsidP="006E132A">
      <w:pPr>
        <w:spacing w:after="0" w:line="240" w:lineRule="auto"/>
        <w:jc w:val="center"/>
        <w:rPr>
          <w:rFonts w:asciiTheme="majorHAnsi" w:hAnsiTheme="majorHAnsi"/>
          <w:b/>
          <w:smallCaps/>
          <w:sz w:val="32"/>
          <w:szCs w:val="32"/>
          <w:lang w:val="es-ES_tradnl"/>
        </w:rPr>
      </w:pPr>
      <w:r w:rsidRPr="00D57375">
        <w:rPr>
          <w:rFonts w:asciiTheme="majorHAnsi" w:hAnsiTheme="majorHAnsi"/>
          <w:b/>
          <w:smallCaps/>
          <w:sz w:val="32"/>
          <w:szCs w:val="32"/>
          <w:lang w:val="es-ES_tradnl"/>
        </w:rPr>
        <w:lastRenderedPageBreak/>
        <w:t>P</w:t>
      </w:r>
      <w:r w:rsidR="00C01A12" w:rsidRPr="00D57375">
        <w:rPr>
          <w:rFonts w:asciiTheme="majorHAnsi" w:hAnsiTheme="majorHAnsi"/>
          <w:b/>
          <w:smallCaps/>
          <w:sz w:val="32"/>
          <w:szCs w:val="32"/>
          <w:lang w:val="es-ES_tradnl"/>
        </w:rPr>
        <w:t>rograma</w:t>
      </w:r>
    </w:p>
    <w:p w:rsidR="009A0ABF" w:rsidRPr="009A0ABF" w:rsidRDefault="009A0ABF" w:rsidP="006E132A">
      <w:pPr>
        <w:spacing w:after="0" w:line="240" w:lineRule="auto"/>
        <w:jc w:val="center"/>
        <w:rPr>
          <w:rFonts w:asciiTheme="majorHAnsi" w:hAnsiTheme="majorHAnsi"/>
          <w:b/>
          <w:smallCaps/>
          <w:sz w:val="16"/>
          <w:szCs w:val="16"/>
          <w:lang w:val="es-ES_tradnl"/>
        </w:rPr>
      </w:pPr>
    </w:p>
    <w:tbl>
      <w:tblPr>
        <w:tblW w:w="9498" w:type="dxa"/>
        <w:tblInd w:w="108" w:type="dxa"/>
        <w:tblBorders>
          <w:top w:val="single" w:sz="4" w:space="0" w:color="auto"/>
          <w:bottom w:val="single" w:sz="4" w:space="0" w:color="auto"/>
          <w:insideH w:val="single" w:sz="4" w:space="0" w:color="auto"/>
          <w:insideV w:val="single" w:sz="4" w:space="0" w:color="auto"/>
        </w:tblBorders>
        <w:tblLook w:val="04A0"/>
      </w:tblPr>
      <w:tblGrid>
        <w:gridCol w:w="1418"/>
        <w:gridCol w:w="3712"/>
        <w:gridCol w:w="4368"/>
      </w:tblGrid>
      <w:tr w:rsidR="00CB074D" w:rsidRPr="001F03F7" w:rsidTr="001F03F7">
        <w:tc>
          <w:tcPr>
            <w:tcW w:w="9498" w:type="dxa"/>
            <w:gridSpan w:val="3"/>
            <w:shd w:val="clear" w:color="auto" w:fill="8DB3E2"/>
          </w:tcPr>
          <w:p w:rsidR="009A6CB3" w:rsidRPr="009A6CB3" w:rsidRDefault="00B043A2">
            <w:pPr>
              <w:spacing w:before="20" w:after="60"/>
              <w:jc w:val="center"/>
              <w:rPr>
                <w:b/>
                <w:sz w:val="21"/>
                <w:szCs w:val="21"/>
                <w:lang w:val="es-CR"/>
              </w:rPr>
            </w:pPr>
            <w:r w:rsidRPr="00B043A2">
              <w:rPr>
                <w:b/>
                <w:sz w:val="21"/>
                <w:szCs w:val="21"/>
                <w:lang w:val="es-CR"/>
              </w:rPr>
              <w:t>Jueves 18 de octubre, 2012</w:t>
            </w:r>
          </w:p>
        </w:tc>
      </w:tr>
      <w:tr w:rsidR="00CB074D" w:rsidRPr="001F03F7" w:rsidTr="001F03F7">
        <w:tc>
          <w:tcPr>
            <w:tcW w:w="1418" w:type="dxa"/>
          </w:tcPr>
          <w:p w:rsidR="00CB074D" w:rsidRPr="001F03F7" w:rsidRDefault="00B043A2" w:rsidP="00B665DA">
            <w:pPr>
              <w:spacing w:before="20" w:after="60"/>
              <w:rPr>
                <w:b/>
                <w:sz w:val="21"/>
                <w:szCs w:val="21"/>
                <w:lang w:val="es-CR"/>
              </w:rPr>
            </w:pPr>
            <w:r w:rsidRPr="00B043A2">
              <w:rPr>
                <w:b/>
                <w:sz w:val="21"/>
                <w:szCs w:val="21"/>
                <w:lang w:val="es-CR"/>
              </w:rPr>
              <w:t>Horario</w:t>
            </w:r>
          </w:p>
        </w:tc>
        <w:tc>
          <w:tcPr>
            <w:tcW w:w="8080" w:type="dxa"/>
            <w:gridSpan w:val="2"/>
          </w:tcPr>
          <w:p w:rsidR="00CB074D" w:rsidRPr="001F03F7" w:rsidRDefault="00B043A2" w:rsidP="00B665DA">
            <w:pPr>
              <w:spacing w:before="20" w:after="60"/>
              <w:rPr>
                <w:b/>
                <w:sz w:val="21"/>
                <w:szCs w:val="21"/>
                <w:lang w:val="es-CR"/>
              </w:rPr>
            </w:pPr>
            <w:r w:rsidRPr="00B043A2">
              <w:rPr>
                <w:b/>
                <w:sz w:val="21"/>
                <w:szCs w:val="21"/>
                <w:lang w:val="es-CR"/>
              </w:rPr>
              <w:t>Actividad</w:t>
            </w:r>
          </w:p>
        </w:tc>
      </w:tr>
      <w:tr w:rsidR="00CB074D" w:rsidRPr="001F03F7" w:rsidTr="001F03F7">
        <w:tc>
          <w:tcPr>
            <w:tcW w:w="1418" w:type="dxa"/>
          </w:tcPr>
          <w:p w:rsidR="00712BCA" w:rsidRDefault="00B043A2">
            <w:pPr>
              <w:spacing w:before="60" w:after="60" w:line="240" w:lineRule="auto"/>
              <w:rPr>
                <w:sz w:val="21"/>
                <w:szCs w:val="21"/>
                <w:lang w:val="es-CR"/>
              </w:rPr>
            </w:pPr>
            <w:r w:rsidRPr="00B043A2">
              <w:rPr>
                <w:sz w:val="21"/>
                <w:szCs w:val="21"/>
                <w:lang w:val="es-CR"/>
              </w:rPr>
              <w:t>08.30 – 09.00</w:t>
            </w:r>
          </w:p>
        </w:tc>
        <w:tc>
          <w:tcPr>
            <w:tcW w:w="8080" w:type="dxa"/>
            <w:gridSpan w:val="2"/>
          </w:tcPr>
          <w:p w:rsidR="00712BCA" w:rsidRDefault="00B043A2">
            <w:pPr>
              <w:spacing w:before="60" w:after="60" w:line="240" w:lineRule="auto"/>
              <w:rPr>
                <w:b/>
                <w:i/>
                <w:color w:val="1F497D" w:themeColor="text2"/>
                <w:sz w:val="21"/>
                <w:szCs w:val="21"/>
                <w:lang w:val="es-CR"/>
              </w:rPr>
            </w:pPr>
            <w:r w:rsidRPr="00B043A2">
              <w:rPr>
                <w:b/>
                <w:i/>
                <w:color w:val="1F497D" w:themeColor="text2"/>
                <w:sz w:val="21"/>
                <w:szCs w:val="21"/>
                <w:lang w:val="es-CR"/>
              </w:rPr>
              <w:t>Registro de Participantes</w:t>
            </w:r>
          </w:p>
        </w:tc>
      </w:tr>
      <w:tr w:rsidR="00CB074D" w:rsidRPr="00C73F70" w:rsidTr="001F03F7">
        <w:tc>
          <w:tcPr>
            <w:tcW w:w="1418" w:type="dxa"/>
          </w:tcPr>
          <w:p w:rsidR="00712BCA" w:rsidRDefault="00B043A2">
            <w:pPr>
              <w:spacing w:before="60" w:after="60" w:line="240" w:lineRule="auto"/>
              <w:rPr>
                <w:sz w:val="21"/>
                <w:szCs w:val="21"/>
                <w:lang w:val="es-CR"/>
              </w:rPr>
            </w:pPr>
            <w:r w:rsidRPr="00B043A2">
              <w:rPr>
                <w:sz w:val="21"/>
                <w:szCs w:val="21"/>
                <w:lang w:val="es-CR"/>
              </w:rPr>
              <w:t>09:00 – 09:40</w:t>
            </w:r>
          </w:p>
        </w:tc>
        <w:tc>
          <w:tcPr>
            <w:tcW w:w="8080" w:type="dxa"/>
            <w:gridSpan w:val="2"/>
          </w:tcPr>
          <w:p w:rsidR="00712BCA" w:rsidRDefault="00B043A2">
            <w:pPr>
              <w:spacing w:before="60" w:after="60" w:line="240" w:lineRule="auto"/>
              <w:rPr>
                <w:b/>
                <w:i/>
                <w:color w:val="1F497D" w:themeColor="text2"/>
                <w:sz w:val="21"/>
                <w:szCs w:val="21"/>
                <w:lang w:val="es-CR"/>
              </w:rPr>
            </w:pPr>
            <w:r w:rsidRPr="00B043A2">
              <w:rPr>
                <w:b/>
                <w:i/>
                <w:color w:val="1F497D" w:themeColor="text2"/>
                <w:sz w:val="21"/>
                <w:szCs w:val="21"/>
                <w:lang w:val="es-CR"/>
              </w:rPr>
              <w:t>Palabras de inauguración</w:t>
            </w:r>
          </w:p>
          <w:p w:rsidR="00712BCA" w:rsidRPr="00C20BB8" w:rsidRDefault="00C20BB8">
            <w:pPr>
              <w:spacing w:before="60" w:after="60" w:line="240" w:lineRule="auto"/>
              <w:rPr>
                <w:spacing w:val="-6"/>
                <w:sz w:val="21"/>
                <w:szCs w:val="21"/>
                <w:lang w:val="es-CR"/>
              </w:rPr>
            </w:pPr>
            <w:r w:rsidRPr="00C20BB8">
              <w:rPr>
                <w:b/>
                <w:spacing w:val="-6"/>
                <w:sz w:val="21"/>
                <w:szCs w:val="21"/>
                <w:lang w:val="es-CR"/>
              </w:rPr>
              <w:t>Martí</w:t>
            </w:r>
            <w:r w:rsidR="00234AED" w:rsidRPr="00C20BB8">
              <w:rPr>
                <w:b/>
                <w:spacing w:val="-6"/>
                <w:sz w:val="21"/>
                <w:szCs w:val="21"/>
                <w:lang w:val="es-CR"/>
              </w:rPr>
              <w:t>n Hopenhayn</w:t>
            </w:r>
            <w:r w:rsidR="00B043A2" w:rsidRPr="00C20BB8">
              <w:rPr>
                <w:spacing w:val="-6"/>
                <w:sz w:val="21"/>
                <w:szCs w:val="21"/>
                <w:lang w:val="es-CR"/>
              </w:rPr>
              <w:t xml:space="preserve">, </w:t>
            </w:r>
            <w:r w:rsidR="00234AED" w:rsidRPr="00C20BB8">
              <w:rPr>
                <w:spacing w:val="-6"/>
                <w:sz w:val="21"/>
                <w:szCs w:val="21"/>
                <w:lang w:val="es-CR"/>
              </w:rPr>
              <w:t>Oficial a cargo de la CEPAL, Director de la División de Desarrollo Social</w:t>
            </w:r>
            <w:r w:rsidR="00B043A2" w:rsidRPr="00C20BB8">
              <w:rPr>
                <w:spacing w:val="-6"/>
                <w:sz w:val="21"/>
                <w:szCs w:val="21"/>
                <w:lang w:val="es-CR"/>
              </w:rPr>
              <w:t>, CEPAL</w:t>
            </w:r>
          </w:p>
          <w:p w:rsidR="00712BCA" w:rsidRDefault="00B043A2">
            <w:pPr>
              <w:spacing w:before="60" w:after="60" w:line="240" w:lineRule="auto"/>
              <w:rPr>
                <w:sz w:val="21"/>
                <w:szCs w:val="21"/>
                <w:lang w:val="es-CR"/>
              </w:rPr>
            </w:pPr>
            <w:r w:rsidRPr="00B043A2">
              <w:rPr>
                <w:b/>
                <w:sz w:val="21"/>
                <w:szCs w:val="21"/>
                <w:lang w:val="es-CR"/>
              </w:rPr>
              <w:t>Víctor Pérez</w:t>
            </w:r>
            <w:r w:rsidRPr="00B043A2">
              <w:rPr>
                <w:sz w:val="21"/>
                <w:szCs w:val="21"/>
                <w:lang w:val="es-CR"/>
              </w:rPr>
              <w:t>, Rector, Universidad de Chile</w:t>
            </w:r>
          </w:p>
          <w:p w:rsidR="00712BCA" w:rsidRDefault="00B043A2">
            <w:pPr>
              <w:spacing w:before="60" w:after="60" w:line="240" w:lineRule="auto"/>
              <w:rPr>
                <w:sz w:val="21"/>
                <w:szCs w:val="21"/>
              </w:rPr>
            </w:pPr>
            <w:r w:rsidRPr="00B043A2">
              <w:rPr>
                <w:b/>
                <w:sz w:val="21"/>
                <w:szCs w:val="21"/>
              </w:rPr>
              <w:t>Pierre Sauvé</w:t>
            </w:r>
            <w:r w:rsidRPr="00B043A2">
              <w:rPr>
                <w:sz w:val="21"/>
                <w:szCs w:val="21"/>
              </w:rPr>
              <w:t xml:space="preserve">, Director </w:t>
            </w:r>
            <w:r w:rsidR="00D51A4A">
              <w:rPr>
                <w:sz w:val="21"/>
                <w:szCs w:val="21"/>
              </w:rPr>
              <w:t>A</w:t>
            </w:r>
            <w:r w:rsidRPr="00B043A2">
              <w:rPr>
                <w:sz w:val="21"/>
                <w:szCs w:val="21"/>
              </w:rPr>
              <w:t>djunto, World Trade Institute</w:t>
            </w:r>
          </w:p>
          <w:p w:rsidR="00712BCA" w:rsidRDefault="00CE3770">
            <w:pPr>
              <w:spacing w:before="60" w:after="60" w:line="240" w:lineRule="auto"/>
              <w:rPr>
                <w:sz w:val="21"/>
                <w:szCs w:val="21"/>
                <w:lang w:val="es-CR"/>
              </w:rPr>
            </w:pPr>
            <w:r>
              <w:rPr>
                <w:b/>
                <w:sz w:val="21"/>
                <w:szCs w:val="21"/>
                <w:lang w:val="es-CR"/>
              </w:rPr>
              <w:t>Patri</w:t>
            </w:r>
            <w:r w:rsidR="00B043A2" w:rsidRPr="00B043A2">
              <w:rPr>
                <w:b/>
                <w:sz w:val="21"/>
                <w:szCs w:val="21"/>
                <w:lang w:val="es-CR"/>
              </w:rPr>
              <w:t>k Ström</w:t>
            </w:r>
            <w:r w:rsidR="00C20BB8">
              <w:rPr>
                <w:sz w:val="21"/>
                <w:szCs w:val="21"/>
                <w:lang w:val="es-CR"/>
              </w:rPr>
              <w:t>, Presidente</w:t>
            </w:r>
            <w:r w:rsidR="00B043A2" w:rsidRPr="00B043A2">
              <w:rPr>
                <w:sz w:val="21"/>
                <w:szCs w:val="21"/>
                <w:lang w:val="es-CR"/>
              </w:rPr>
              <w:t>, Asociación Europea para la Investigación de Servicios (RESER)</w:t>
            </w:r>
          </w:p>
        </w:tc>
      </w:tr>
      <w:tr w:rsidR="00CB074D" w:rsidRPr="00C73F70" w:rsidTr="001F03F7">
        <w:tc>
          <w:tcPr>
            <w:tcW w:w="1418" w:type="dxa"/>
          </w:tcPr>
          <w:p w:rsidR="00712BCA" w:rsidRDefault="00B043A2">
            <w:pPr>
              <w:spacing w:before="60" w:after="60" w:line="240" w:lineRule="auto"/>
              <w:rPr>
                <w:sz w:val="21"/>
                <w:szCs w:val="21"/>
                <w:lang w:val="es-CR"/>
              </w:rPr>
            </w:pPr>
            <w:r w:rsidRPr="00B043A2">
              <w:rPr>
                <w:sz w:val="21"/>
                <w:szCs w:val="21"/>
                <w:lang w:val="es-CR"/>
              </w:rPr>
              <w:t>09:40 – 10:40</w:t>
            </w:r>
          </w:p>
        </w:tc>
        <w:tc>
          <w:tcPr>
            <w:tcW w:w="8080" w:type="dxa"/>
            <w:gridSpan w:val="2"/>
          </w:tcPr>
          <w:p w:rsidR="00712BCA" w:rsidRPr="00BD3493" w:rsidRDefault="00B043A2">
            <w:pPr>
              <w:spacing w:before="60" w:after="60" w:line="240" w:lineRule="auto"/>
              <w:rPr>
                <w:sz w:val="21"/>
                <w:szCs w:val="21"/>
                <w:lang w:val="es-ES"/>
              </w:rPr>
            </w:pPr>
            <w:r w:rsidRPr="00B043A2">
              <w:rPr>
                <w:b/>
                <w:i/>
                <w:color w:val="1F497D" w:themeColor="text2"/>
                <w:sz w:val="21"/>
                <w:szCs w:val="21"/>
                <w:lang w:val="es-ES"/>
              </w:rPr>
              <w:t xml:space="preserve">Conferencia inaugural: </w:t>
            </w:r>
            <w:r w:rsidRPr="00BD3493">
              <w:rPr>
                <w:sz w:val="21"/>
                <w:szCs w:val="21"/>
                <w:lang w:val="es-ES"/>
              </w:rPr>
              <w:t xml:space="preserve">Importancia de la industria de servicios globales para el cambio de modelo productivo </w:t>
            </w:r>
          </w:p>
          <w:p w:rsidR="00712BCA" w:rsidRDefault="00B043A2">
            <w:pPr>
              <w:spacing w:before="60" w:after="60" w:line="240" w:lineRule="auto"/>
              <w:rPr>
                <w:b/>
                <w:i/>
                <w:color w:val="00B050"/>
                <w:sz w:val="21"/>
                <w:szCs w:val="21"/>
                <w:lang w:val="es-CL"/>
              </w:rPr>
            </w:pPr>
            <w:r w:rsidRPr="00B043A2">
              <w:rPr>
                <w:b/>
                <w:sz w:val="21"/>
                <w:szCs w:val="21"/>
                <w:lang w:val="es-ES"/>
              </w:rPr>
              <w:t>Fernando Lorenzo</w:t>
            </w:r>
            <w:r w:rsidRPr="00B043A2">
              <w:rPr>
                <w:sz w:val="21"/>
                <w:szCs w:val="21"/>
                <w:lang w:val="es-ES"/>
              </w:rPr>
              <w:t>, Ministro de Economía y Finanzas, Uruguay</w:t>
            </w:r>
          </w:p>
        </w:tc>
      </w:tr>
      <w:tr w:rsidR="00CB074D" w:rsidRPr="001F03F7" w:rsidTr="001F03F7">
        <w:tc>
          <w:tcPr>
            <w:tcW w:w="1418" w:type="dxa"/>
            <w:shd w:val="clear" w:color="auto" w:fill="F2F2F2"/>
          </w:tcPr>
          <w:p w:rsidR="00712BCA" w:rsidRDefault="00B043A2">
            <w:pPr>
              <w:spacing w:before="60" w:after="60" w:line="240" w:lineRule="auto"/>
              <w:rPr>
                <w:sz w:val="21"/>
                <w:szCs w:val="21"/>
                <w:lang w:val="es-CR"/>
              </w:rPr>
            </w:pPr>
            <w:r w:rsidRPr="00B043A2">
              <w:rPr>
                <w:sz w:val="21"/>
                <w:szCs w:val="21"/>
                <w:lang w:val="es-CR"/>
              </w:rPr>
              <w:t>10.40 – 11:00</w:t>
            </w:r>
          </w:p>
        </w:tc>
        <w:tc>
          <w:tcPr>
            <w:tcW w:w="8080" w:type="dxa"/>
            <w:gridSpan w:val="2"/>
            <w:shd w:val="clear" w:color="auto" w:fill="F2F2F2"/>
          </w:tcPr>
          <w:p w:rsidR="00712BCA" w:rsidRDefault="00B043A2">
            <w:pPr>
              <w:spacing w:before="60" w:after="60" w:line="240" w:lineRule="auto"/>
              <w:rPr>
                <w:sz w:val="21"/>
                <w:szCs w:val="21"/>
                <w:lang w:val="es-ES"/>
              </w:rPr>
            </w:pPr>
            <w:r w:rsidRPr="00B043A2">
              <w:rPr>
                <w:sz w:val="21"/>
                <w:szCs w:val="21"/>
                <w:lang w:val="es-CR"/>
              </w:rPr>
              <w:t>Café</w:t>
            </w:r>
          </w:p>
        </w:tc>
      </w:tr>
      <w:tr w:rsidR="00FC3A12" w:rsidRPr="00C73F70" w:rsidTr="001F03F7">
        <w:tc>
          <w:tcPr>
            <w:tcW w:w="1418" w:type="dxa"/>
          </w:tcPr>
          <w:p w:rsidR="00712BCA" w:rsidRDefault="00B043A2">
            <w:pPr>
              <w:spacing w:before="60" w:after="60" w:line="240" w:lineRule="auto"/>
              <w:rPr>
                <w:sz w:val="21"/>
                <w:szCs w:val="21"/>
                <w:lang w:val="es-CR"/>
              </w:rPr>
            </w:pPr>
            <w:r w:rsidRPr="00B043A2">
              <w:rPr>
                <w:sz w:val="21"/>
                <w:szCs w:val="21"/>
                <w:lang w:val="es-CR"/>
              </w:rPr>
              <w:t>11:00 – 11:45</w:t>
            </w:r>
          </w:p>
        </w:tc>
        <w:tc>
          <w:tcPr>
            <w:tcW w:w="8080" w:type="dxa"/>
            <w:gridSpan w:val="2"/>
            <w:tcBorders>
              <w:bottom w:val="single" w:sz="4" w:space="0" w:color="auto"/>
            </w:tcBorders>
          </w:tcPr>
          <w:p w:rsidR="00712BCA" w:rsidRPr="00BD3493" w:rsidRDefault="00B043A2">
            <w:pPr>
              <w:spacing w:before="60" w:after="60" w:line="240" w:lineRule="auto"/>
              <w:rPr>
                <w:sz w:val="21"/>
                <w:szCs w:val="21"/>
              </w:rPr>
            </w:pPr>
            <w:r w:rsidRPr="00B043A2">
              <w:rPr>
                <w:b/>
                <w:i/>
                <w:color w:val="1F497D" w:themeColor="text2"/>
                <w:sz w:val="21"/>
                <w:szCs w:val="21"/>
              </w:rPr>
              <w:t xml:space="preserve">Keynote Speaker: </w:t>
            </w:r>
            <w:r w:rsidRPr="00BD3493">
              <w:rPr>
                <w:sz w:val="21"/>
                <w:szCs w:val="21"/>
              </w:rPr>
              <w:t>More questions than answers: what do we know</w:t>
            </w:r>
            <w:r w:rsidR="00BD3493">
              <w:rPr>
                <w:sz w:val="21"/>
                <w:szCs w:val="21"/>
              </w:rPr>
              <w:t xml:space="preserve"> about value chains in services</w:t>
            </w:r>
          </w:p>
          <w:p w:rsidR="00712BCA" w:rsidRDefault="00B043A2">
            <w:pPr>
              <w:spacing w:before="60" w:after="60" w:line="240" w:lineRule="auto"/>
              <w:rPr>
                <w:b/>
                <w:sz w:val="21"/>
                <w:szCs w:val="21"/>
                <w:lang w:val="es-CR"/>
              </w:rPr>
            </w:pPr>
            <w:r w:rsidRPr="00B043A2">
              <w:rPr>
                <w:b/>
                <w:sz w:val="21"/>
                <w:szCs w:val="21"/>
                <w:lang w:val="es-CR"/>
              </w:rPr>
              <w:t>Pierre Sauvé</w:t>
            </w:r>
            <w:r w:rsidRPr="00B043A2">
              <w:rPr>
                <w:sz w:val="21"/>
                <w:szCs w:val="21"/>
                <w:lang w:val="es-CR"/>
              </w:rPr>
              <w:t>, World Trade Institute, Universidad de</w:t>
            </w:r>
            <w:r w:rsidR="00B23106">
              <w:rPr>
                <w:sz w:val="21"/>
                <w:szCs w:val="21"/>
                <w:lang w:val="es-CR"/>
              </w:rPr>
              <w:t xml:space="preserve"> </w:t>
            </w:r>
            <w:r w:rsidRPr="00B043A2">
              <w:rPr>
                <w:sz w:val="21"/>
                <w:szCs w:val="21"/>
                <w:lang w:val="es-CR"/>
              </w:rPr>
              <w:t>Berna, Suiza</w:t>
            </w:r>
          </w:p>
        </w:tc>
      </w:tr>
      <w:tr w:rsidR="00373B22" w:rsidRPr="00C73F70" w:rsidTr="001F03F7">
        <w:tc>
          <w:tcPr>
            <w:tcW w:w="1418" w:type="dxa"/>
            <w:vMerge w:val="restart"/>
          </w:tcPr>
          <w:p w:rsidR="00712BCA" w:rsidRDefault="00B043A2">
            <w:pPr>
              <w:spacing w:before="60" w:after="60" w:line="240" w:lineRule="auto"/>
              <w:rPr>
                <w:sz w:val="21"/>
                <w:szCs w:val="21"/>
                <w:lang w:val="es-CR"/>
              </w:rPr>
            </w:pPr>
            <w:r w:rsidRPr="00B043A2">
              <w:rPr>
                <w:sz w:val="21"/>
                <w:szCs w:val="21"/>
                <w:lang w:val="es-CR"/>
              </w:rPr>
              <w:t>11:45 – 13:30</w:t>
            </w:r>
          </w:p>
        </w:tc>
        <w:tc>
          <w:tcPr>
            <w:tcW w:w="8080" w:type="dxa"/>
            <w:gridSpan w:val="2"/>
            <w:tcBorders>
              <w:bottom w:val="single" w:sz="4" w:space="0" w:color="auto"/>
            </w:tcBorders>
          </w:tcPr>
          <w:p w:rsidR="00712BCA" w:rsidRDefault="00B043A2">
            <w:pPr>
              <w:spacing w:before="60" w:after="60" w:line="240" w:lineRule="auto"/>
              <w:rPr>
                <w:sz w:val="21"/>
                <w:szCs w:val="21"/>
                <w:lang w:val="es-CR"/>
              </w:rPr>
            </w:pPr>
            <w:r w:rsidRPr="00B043A2">
              <w:rPr>
                <w:b/>
                <w:sz w:val="21"/>
                <w:szCs w:val="21"/>
                <w:lang w:val="es-CR"/>
              </w:rPr>
              <w:t xml:space="preserve">Sesión Plenaria 1: </w:t>
            </w:r>
            <w:r w:rsidRPr="00B043A2">
              <w:rPr>
                <w:b/>
                <w:i/>
                <w:color w:val="1F497D" w:themeColor="text2"/>
                <w:sz w:val="21"/>
                <w:szCs w:val="21"/>
                <w:lang w:val="es-CR"/>
              </w:rPr>
              <w:t>La globalización mediante la deslocalización de servicios y cadenas globales de valor</w:t>
            </w:r>
            <w:r w:rsidRPr="00B043A2">
              <w:rPr>
                <w:b/>
                <w:i/>
                <w:sz w:val="21"/>
                <w:szCs w:val="21"/>
                <w:lang w:val="es-CR"/>
              </w:rPr>
              <w:t xml:space="preserve"> - </w:t>
            </w:r>
            <w:r w:rsidRPr="00B043A2">
              <w:rPr>
                <w:b/>
                <w:sz w:val="21"/>
                <w:szCs w:val="21"/>
                <w:lang w:val="es-CR"/>
              </w:rPr>
              <w:t xml:space="preserve">Moderador: Gordana Stojkovic, </w:t>
            </w:r>
            <w:r w:rsidRPr="00BD3493">
              <w:rPr>
                <w:sz w:val="21"/>
                <w:szCs w:val="21"/>
                <w:lang w:val="es-CR"/>
              </w:rPr>
              <w:t>CEPAL</w:t>
            </w:r>
          </w:p>
        </w:tc>
      </w:tr>
      <w:tr w:rsidR="00373B22" w:rsidRPr="001F03F7" w:rsidTr="001F03F7">
        <w:tc>
          <w:tcPr>
            <w:tcW w:w="1418" w:type="dxa"/>
            <w:vMerge/>
            <w:shd w:val="clear" w:color="auto" w:fill="auto"/>
          </w:tcPr>
          <w:p w:rsidR="00712BCA" w:rsidRDefault="00712BCA">
            <w:pPr>
              <w:spacing w:before="60" w:after="60" w:line="240" w:lineRule="auto"/>
              <w:rPr>
                <w:sz w:val="21"/>
                <w:szCs w:val="21"/>
                <w:lang w:val="es-ES"/>
              </w:rPr>
            </w:pPr>
          </w:p>
        </w:tc>
        <w:tc>
          <w:tcPr>
            <w:tcW w:w="3712" w:type="dxa"/>
            <w:tcBorders>
              <w:top w:val="nil"/>
              <w:bottom w:val="nil"/>
              <w:right w:val="single" w:sz="4" w:space="0" w:color="auto"/>
            </w:tcBorders>
            <w:shd w:val="clear" w:color="auto" w:fill="auto"/>
          </w:tcPr>
          <w:p w:rsidR="00712BCA" w:rsidRDefault="00C20BB8">
            <w:pPr>
              <w:spacing w:before="60" w:after="60" w:line="240" w:lineRule="auto"/>
              <w:rPr>
                <w:sz w:val="21"/>
                <w:szCs w:val="21"/>
              </w:rPr>
            </w:pPr>
            <w:r w:rsidRPr="00C20BB8">
              <w:rPr>
                <w:sz w:val="21"/>
                <w:szCs w:val="21"/>
              </w:rPr>
              <w:t>The Offshore Services Value Chain: Upgrading Trajectories in Developing Countries</w:t>
            </w:r>
          </w:p>
        </w:tc>
        <w:tc>
          <w:tcPr>
            <w:tcW w:w="4368" w:type="dxa"/>
            <w:tcBorders>
              <w:top w:val="nil"/>
              <w:left w:val="single" w:sz="4" w:space="0" w:color="auto"/>
              <w:bottom w:val="nil"/>
              <w:right w:val="nil"/>
            </w:tcBorders>
            <w:shd w:val="clear" w:color="auto" w:fill="auto"/>
          </w:tcPr>
          <w:p w:rsidR="00712BCA" w:rsidRDefault="00B043A2">
            <w:pPr>
              <w:spacing w:before="60" w:after="60" w:line="240" w:lineRule="auto"/>
              <w:rPr>
                <w:b/>
                <w:sz w:val="21"/>
                <w:szCs w:val="21"/>
                <w:highlight w:val="yellow"/>
              </w:rPr>
            </w:pPr>
            <w:r w:rsidRPr="00B043A2">
              <w:rPr>
                <w:b/>
                <w:sz w:val="21"/>
                <w:szCs w:val="21"/>
                <w:lang w:val="es-CR"/>
              </w:rPr>
              <w:t>Karina Fernandez- Stark</w:t>
            </w:r>
            <w:r w:rsidRPr="00B043A2">
              <w:rPr>
                <w:sz w:val="21"/>
                <w:szCs w:val="21"/>
                <w:lang w:val="es-CR"/>
              </w:rPr>
              <w:t xml:space="preserve">, </w:t>
            </w:r>
            <w:r w:rsidRPr="00B043A2">
              <w:rPr>
                <w:sz w:val="21"/>
                <w:szCs w:val="21"/>
              </w:rPr>
              <w:t>Duke University</w:t>
            </w:r>
          </w:p>
        </w:tc>
      </w:tr>
      <w:tr w:rsidR="00373B22" w:rsidRPr="00C73F70" w:rsidTr="001F03F7">
        <w:trPr>
          <w:trHeight w:val="890"/>
        </w:trPr>
        <w:tc>
          <w:tcPr>
            <w:tcW w:w="1418" w:type="dxa"/>
            <w:vMerge/>
            <w:shd w:val="clear" w:color="auto" w:fill="auto"/>
          </w:tcPr>
          <w:p w:rsidR="00712BCA" w:rsidRDefault="00712BCA">
            <w:pPr>
              <w:spacing w:before="60" w:after="60" w:line="240" w:lineRule="auto"/>
              <w:rPr>
                <w:sz w:val="21"/>
                <w:szCs w:val="21"/>
              </w:rPr>
            </w:pPr>
          </w:p>
        </w:tc>
        <w:tc>
          <w:tcPr>
            <w:tcW w:w="3712" w:type="dxa"/>
            <w:tcBorders>
              <w:top w:val="nil"/>
              <w:bottom w:val="nil"/>
              <w:right w:val="single" w:sz="4" w:space="0" w:color="auto"/>
            </w:tcBorders>
            <w:shd w:val="clear" w:color="auto" w:fill="auto"/>
          </w:tcPr>
          <w:p w:rsidR="00712BCA" w:rsidRDefault="00B043A2">
            <w:pPr>
              <w:spacing w:before="60" w:after="60" w:line="240" w:lineRule="auto"/>
              <w:rPr>
                <w:sz w:val="21"/>
                <w:szCs w:val="21"/>
              </w:rPr>
            </w:pPr>
            <w:r w:rsidRPr="00B043A2">
              <w:rPr>
                <w:sz w:val="21"/>
                <w:szCs w:val="21"/>
              </w:rPr>
              <w:t>International service tradability: understanding the service offshoring.</w:t>
            </w:r>
          </w:p>
        </w:tc>
        <w:tc>
          <w:tcPr>
            <w:tcW w:w="4368" w:type="dxa"/>
            <w:tcBorders>
              <w:top w:val="nil"/>
              <w:left w:val="single" w:sz="4" w:space="0" w:color="auto"/>
              <w:bottom w:val="nil"/>
              <w:right w:val="nil"/>
            </w:tcBorders>
            <w:shd w:val="clear" w:color="auto" w:fill="auto"/>
          </w:tcPr>
          <w:p w:rsidR="00712BCA" w:rsidRPr="006910BC" w:rsidRDefault="00B043A2" w:rsidP="007B6262">
            <w:pPr>
              <w:spacing w:before="60" w:after="60" w:line="240" w:lineRule="auto"/>
              <w:rPr>
                <w:sz w:val="21"/>
                <w:szCs w:val="21"/>
                <w:lang w:val="fr-FR"/>
              </w:rPr>
            </w:pPr>
            <w:r w:rsidRPr="006910BC">
              <w:rPr>
                <w:sz w:val="21"/>
                <w:szCs w:val="21"/>
                <w:lang w:val="fr-FR"/>
              </w:rPr>
              <w:t>Pierre-Yves Leo &amp; Jean Phillippe</w:t>
            </w:r>
            <w:r w:rsidRPr="006910BC">
              <w:rPr>
                <w:b/>
                <w:sz w:val="21"/>
                <w:szCs w:val="21"/>
                <w:lang w:val="fr-FR"/>
              </w:rPr>
              <w:t xml:space="preserve">, </w:t>
            </w:r>
            <w:r w:rsidRPr="006910BC">
              <w:rPr>
                <w:sz w:val="21"/>
                <w:szCs w:val="21"/>
                <w:lang w:val="fr-FR"/>
              </w:rPr>
              <w:t xml:space="preserve">Universidad de Aix-Marseille, Francia y RESER </w:t>
            </w:r>
            <w:r w:rsidR="00114527">
              <w:rPr>
                <w:sz w:val="21"/>
                <w:szCs w:val="21"/>
                <w:lang w:val="fr-FR"/>
              </w:rPr>
              <w:t xml:space="preserve"> </w:t>
            </w:r>
            <w:r w:rsidR="00114527" w:rsidRPr="006910BC">
              <w:rPr>
                <w:b/>
                <w:sz w:val="21"/>
                <w:szCs w:val="21"/>
                <w:lang w:val="fr-FR"/>
              </w:rPr>
              <w:t>(presenta Marie-Christine Mo</w:t>
            </w:r>
            <w:r w:rsidR="007B6262">
              <w:rPr>
                <w:b/>
                <w:sz w:val="21"/>
                <w:szCs w:val="21"/>
                <w:lang w:val="fr-FR"/>
              </w:rPr>
              <w:t>nnoyer</w:t>
            </w:r>
            <w:r w:rsidR="00114527" w:rsidRPr="006910BC">
              <w:rPr>
                <w:b/>
                <w:sz w:val="21"/>
                <w:szCs w:val="21"/>
                <w:lang w:val="fr-FR"/>
              </w:rPr>
              <w:t>)</w:t>
            </w:r>
          </w:p>
        </w:tc>
      </w:tr>
      <w:tr w:rsidR="00373B22" w:rsidRPr="001F03F7" w:rsidTr="0008465F">
        <w:trPr>
          <w:trHeight w:val="512"/>
        </w:trPr>
        <w:tc>
          <w:tcPr>
            <w:tcW w:w="1418" w:type="dxa"/>
            <w:vMerge/>
            <w:shd w:val="clear" w:color="auto" w:fill="auto"/>
          </w:tcPr>
          <w:p w:rsidR="00712BCA" w:rsidRPr="006910BC" w:rsidRDefault="00712BCA">
            <w:pPr>
              <w:spacing w:before="60" w:after="60" w:line="240" w:lineRule="auto"/>
              <w:rPr>
                <w:sz w:val="21"/>
                <w:szCs w:val="21"/>
                <w:lang w:val="fr-FR"/>
              </w:rPr>
            </w:pPr>
          </w:p>
        </w:tc>
        <w:tc>
          <w:tcPr>
            <w:tcW w:w="3712" w:type="dxa"/>
            <w:tcBorders>
              <w:top w:val="nil"/>
              <w:bottom w:val="nil"/>
              <w:right w:val="single" w:sz="4" w:space="0" w:color="auto"/>
            </w:tcBorders>
            <w:shd w:val="clear" w:color="auto" w:fill="auto"/>
          </w:tcPr>
          <w:p w:rsidR="00712BCA" w:rsidRDefault="00B043A2">
            <w:pPr>
              <w:spacing w:before="60" w:after="60" w:line="240" w:lineRule="auto"/>
              <w:rPr>
                <w:sz w:val="21"/>
                <w:szCs w:val="21"/>
              </w:rPr>
            </w:pPr>
            <w:r w:rsidRPr="00B043A2">
              <w:rPr>
                <w:sz w:val="21"/>
                <w:szCs w:val="21"/>
              </w:rPr>
              <w:t>Emerging Economies and Knowledge-Intensive Business Services (KIBS): A Pressing Theoretical and Empirical Agenda</w:t>
            </w:r>
          </w:p>
        </w:tc>
        <w:tc>
          <w:tcPr>
            <w:tcW w:w="4368" w:type="dxa"/>
            <w:tcBorders>
              <w:top w:val="nil"/>
              <w:left w:val="single" w:sz="4" w:space="0" w:color="auto"/>
              <w:bottom w:val="nil"/>
              <w:right w:val="nil"/>
            </w:tcBorders>
            <w:shd w:val="clear" w:color="auto" w:fill="auto"/>
          </w:tcPr>
          <w:p w:rsidR="00712BCA" w:rsidRDefault="00B043A2" w:rsidP="00114527">
            <w:pPr>
              <w:spacing w:before="60" w:after="60" w:line="240" w:lineRule="auto"/>
              <w:rPr>
                <w:sz w:val="21"/>
                <w:szCs w:val="21"/>
              </w:rPr>
            </w:pPr>
            <w:r w:rsidRPr="00B043A2">
              <w:rPr>
                <w:sz w:val="21"/>
                <w:szCs w:val="21"/>
              </w:rPr>
              <w:t>Andrew Jones, Birkbeck College, University of London, Reino Unido</w:t>
            </w:r>
            <w:r w:rsidR="00114527">
              <w:rPr>
                <w:sz w:val="21"/>
                <w:szCs w:val="21"/>
              </w:rPr>
              <w:br/>
            </w:r>
            <w:r w:rsidRPr="00B043A2">
              <w:rPr>
                <w:b/>
                <w:sz w:val="21"/>
                <w:szCs w:val="21"/>
              </w:rPr>
              <w:t>Patrik Ström</w:t>
            </w:r>
            <w:r w:rsidRPr="00B043A2">
              <w:rPr>
                <w:sz w:val="21"/>
                <w:szCs w:val="21"/>
              </w:rPr>
              <w:t>, University of Göthenburg, Suecia y RESER</w:t>
            </w:r>
          </w:p>
        </w:tc>
      </w:tr>
      <w:tr w:rsidR="00373B22" w:rsidRPr="001F03F7" w:rsidTr="0008465F">
        <w:trPr>
          <w:trHeight w:val="512"/>
        </w:trPr>
        <w:tc>
          <w:tcPr>
            <w:tcW w:w="1418" w:type="dxa"/>
            <w:vMerge/>
            <w:shd w:val="clear" w:color="auto" w:fill="auto"/>
          </w:tcPr>
          <w:p w:rsidR="00712BCA" w:rsidRDefault="00712BCA">
            <w:pPr>
              <w:spacing w:before="60" w:after="60" w:line="240" w:lineRule="auto"/>
              <w:rPr>
                <w:sz w:val="21"/>
                <w:szCs w:val="21"/>
              </w:rPr>
            </w:pPr>
          </w:p>
        </w:tc>
        <w:tc>
          <w:tcPr>
            <w:tcW w:w="3712" w:type="dxa"/>
            <w:tcBorders>
              <w:top w:val="nil"/>
              <w:bottom w:val="nil"/>
              <w:right w:val="single" w:sz="4" w:space="0" w:color="auto"/>
            </w:tcBorders>
            <w:shd w:val="clear" w:color="auto" w:fill="auto"/>
          </w:tcPr>
          <w:p w:rsidR="00712BCA" w:rsidRDefault="00B043A2">
            <w:pPr>
              <w:spacing w:before="60" w:after="60" w:line="240" w:lineRule="auto"/>
              <w:rPr>
                <w:spacing w:val="-2"/>
                <w:sz w:val="21"/>
                <w:szCs w:val="21"/>
              </w:rPr>
            </w:pPr>
            <w:r w:rsidRPr="00B043A2">
              <w:rPr>
                <w:spacing w:val="-2"/>
                <w:sz w:val="21"/>
                <w:szCs w:val="21"/>
              </w:rPr>
              <w:t>In what way do national and regional systems of innovation matter for learning, upgrading and innovation processes in manufacturing and services GVCs? A review of the empirical evidence</w:t>
            </w:r>
          </w:p>
        </w:tc>
        <w:tc>
          <w:tcPr>
            <w:tcW w:w="4368" w:type="dxa"/>
            <w:tcBorders>
              <w:top w:val="nil"/>
              <w:left w:val="single" w:sz="4" w:space="0" w:color="auto"/>
              <w:bottom w:val="nil"/>
              <w:right w:val="nil"/>
            </w:tcBorders>
            <w:shd w:val="clear" w:color="auto" w:fill="auto"/>
          </w:tcPr>
          <w:p w:rsidR="00712BCA" w:rsidRDefault="00B043A2">
            <w:pPr>
              <w:spacing w:before="60" w:after="60" w:line="240" w:lineRule="auto"/>
              <w:rPr>
                <w:b/>
                <w:sz w:val="21"/>
                <w:szCs w:val="21"/>
              </w:rPr>
            </w:pPr>
            <w:r w:rsidRPr="00B043A2">
              <w:rPr>
                <w:b/>
                <w:sz w:val="21"/>
                <w:szCs w:val="21"/>
              </w:rPr>
              <w:t>Paulina Ramirez</w:t>
            </w:r>
            <w:r w:rsidRPr="00B043A2">
              <w:rPr>
                <w:sz w:val="21"/>
                <w:szCs w:val="21"/>
              </w:rPr>
              <w:t>, Birmingham Business School, Reino Unido</w:t>
            </w:r>
          </w:p>
        </w:tc>
      </w:tr>
      <w:tr w:rsidR="00373B22" w:rsidRPr="001F03F7" w:rsidTr="0008465F">
        <w:trPr>
          <w:trHeight w:val="512"/>
        </w:trPr>
        <w:tc>
          <w:tcPr>
            <w:tcW w:w="1418" w:type="dxa"/>
            <w:vMerge/>
            <w:shd w:val="clear" w:color="auto" w:fill="auto"/>
          </w:tcPr>
          <w:p w:rsidR="00712BCA" w:rsidRDefault="00712BCA">
            <w:pPr>
              <w:spacing w:before="60" w:after="60" w:line="240" w:lineRule="auto"/>
              <w:rPr>
                <w:sz w:val="21"/>
                <w:szCs w:val="21"/>
              </w:rPr>
            </w:pPr>
          </w:p>
        </w:tc>
        <w:tc>
          <w:tcPr>
            <w:tcW w:w="3712" w:type="dxa"/>
            <w:tcBorders>
              <w:top w:val="nil"/>
              <w:right w:val="single" w:sz="4" w:space="0" w:color="auto"/>
            </w:tcBorders>
            <w:shd w:val="clear" w:color="auto" w:fill="auto"/>
          </w:tcPr>
          <w:p w:rsidR="00712BCA" w:rsidRDefault="00B043A2">
            <w:pPr>
              <w:spacing w:before="60" w:after="60" w:line="240" w:lineRule="auto"/>
              <w:rPr>
                <w:sz w:val="21"/>
                <w:szCs w:val="21"/>
              </w:rPr>
            </w:pPr>
            <w:r w:rsidRPr="00B043A2">
              <w:rPr>
                <w:sz w:val="21"/>
                <w:szCs w:val="21"/>
              </w:rPr>
              <w:t>ITES Offshore: Why India is a Brand?</w:t>
            </w:r>
          </w:p>
        </w:tc>
        <w:tc>
          <w:tcPr>
            <w:tcW w:w="4368" w:type="dxa"/>
            <w:tcBorders>
              <w:top w:val="nil"/>
              <w:left w:val="single" w:sz="4" w:space="0" w:color="auto"/>
              <w:bottom w:val="single" w:sz="4" w:space="0" w:color="auto"/>
              <w:right w:val="nil"/>
            </w:tcBorders>
            <w:shd w:val="clear" w:color="auto" w:fill="auto"/>
          </w:tcPr>
          <w:p w:rsidR="00712BCA" w:rsidRDefault="00B043A2" w:rsidP="00BA743D">
            <w:pPr>
              <w:spacing w:before="60" w:after="60" w:line="240" w:lineRule="auto"/>
              <w:rPr>
                <w:b/>
                <w:sz w:val="21"/>
                <w:szCs w:val="21"/>
              </w:rPr>
            </w:pPr>
            <w:r w:rsidRPr="00B043A2">
              <w:rPr>
                <w:b/>
                <w:sz w:val="21"/>
                <w:szCs w:val="21"/>
              </w:rPr>
              <w:t>Nalin Bharti</w:t>
            </w:r>
            <w:r w:rsidRPr="00B043A2">
              <w:rPr>
                <w:sz w:val="21"/>
                <w:szCs w:val="21"/>
              </w:rPr>
              <w:t>, Indian Institute of Technology Patna, India</w:t>
            </w:r>
            <w:r w:rsidRPr="00B043A2">
              <w:rPr>
                <w:b/>
                <w:sz w:val="21"/>
                <w:szCs w:val="21"/>
              </w:rPr>
              <w:t xml:space="preserve"> </w:t>
            </w:r>
          </w:p>
        </w:tc>
      </w:tr>
      <w:tr w:rsidR="00781794" w:rsidRPr="0085258C" w:rsidTr="001F03F7">
        <w:tc>
          <w:tcPr>
            <w:tcW w:w="1418" w:type="dxa"/>
            <w:tcBorders>
              <w:bottom w:val="single" w:sz="4" w:space="0" w:color="auto"/>
            </w:tcBorders>
            <w:shd w:val="clear" w:color="auto" w:fill="C6D9F1"/>
          </w:tcPr>
          <w:p w:rsidR="00712BCA" w:rsidRDefault="00B043A2">
            <w:pPr>
              <w:spacing w:before="60" w:after="60" w:line="240" w:lineRule="auto"/>
              <w:rPr>
                <w:sz w:val="21"/>
                <w:szCs w:val="21"/>
                <w:lang w:val="es-ES"/>
              </w:rPr>
            </w:pPr>
            <w:r w:rsidRPr="00B043A2">
              <w:rPr>
                <w:sz w:val="21"/>
                <w:szCs w:val="21"/>
                <w:lang w:val="es-ES"/>
              </w:rPr>
              <w:lastRenderedPageBreak/>
              <w:t>13:30 – 15:00</w:t>
            </w:r>
          </w:p>
        </w:tc>
        <w:tc>
          <w:tcPr>
            <w:tcW w:w="8080" w:type="dxa"/>
            <w:gridSpan w:val="2"/>
            <w:tcBorders>
              <w:top w:val="single" w:sz="4" w:space="0" w:color="auto"/>
            </w:tcBorders>
            <w:shd w:val="clear" w:color="auto" w:fill="C6D9F1"/>
          </w:tcPr>
          <w:p w:rsidR="00712BCA" w:rsidRDefault="00B043A2" w:rsidP="0085258C">
            <w:pPr>
              <w:spacing w:before="60" w:after="60" w:line="240" w:lineRule="auto"/>
              <w:rPr>
                <w:sz w:val="21"/>
                <w:szCs w:val="21"/>
                <w:lang w:val="es-ES"/>
              </w:rPr>
            </w:pPr>
            <w:r w:rsidRPr="00B043A2">
              <w:rPr>
                <w:b/>
                <w:sz w:val="21"/>
                <w:szCs w:val="21"/>
                <w:lang w:val="es-ES"/>
              </w:rPr>
              <w:t>Almuerzo</w:t>
            </w:r>
            <w:r w:rsidR="0085258C">
              <w:rPr>
                <w:b/>
                <w:sz w:val="21"/>
                <w:szCs w:val="21"/>
                <w:lang w:val="es-ES"/>
              </w:rPr>
              <w:t xml:space="preserve"> (solo panelistas). Se recomienda a los demás asistentes almuerzo libre en el Casino de la CEPAL (comida caliente) o el Café Colonia (sándwiches/ensaladas). </w:t>
            </w:r>
          </w:p>
        </w:tc>
      </w:tr>
      <w:tr w:rsidR="00CB074D" w:rsidRPr="00C73F70" w:rsidTr="001F03F7">
        <w:tc>
          <w:tcPr>
            <w:tcW w:w="1418" w:type="dxa"/>
            <w:vMerge w:val="restart"/>
          </w:tcPr>
          <w:p w:rsidR="00712BCA" w:rsidRDefault="00B043A2">
            <w:pPr>
              <w:spacing w:before="60" w:after="60" w:line="240" w:lineRule="auto"/>
              <w:rPr>
                <w:sz w:val="21"/>
                <w:szCs w:val="21"/>
                <w:lang w:val="es-CR"/>
              </w:rPr>
            </w:pPr>
            <w:r w:rsidRPr="00B043A2">
              <w:rPr>
                <w:sz w:val="21"/>
                <w:szCs w:val="21"/>
                <w:lang w:val="es-CR"/>
              </w:rPr>
              <w:t>15:00 – 16:00</w:t>
            </w:r>
          </w:p>
        </w:tc>
        <w:tc>
          <w:tcPr>
            <w:tcW w:w="8080" w:type="dxa"/>
            <w:gridSpan w:val="2"/>
            <w:tcBorders>
              <w:bottom w:val="single" w:sz="4" w:space="0" w:color="auto"/>
            </w:tcBorders>
          </w:tcPr>
          <w:p w:rsidR="00712BCA" w:rsidRDefault="00B043A2">
            <w:pPr>
              <w:spacing w:before="60" w:after="60" w:line="240" w:lineRule="auto"/>
              <w:rPr>
                <w:spacing w:val="-4"/>
                <w:sz w:val="21"/>
                <w:szCs w:val="21"/>
                <w:lang w:val="es-ES_tradnl"/>
              </w:rPr>
            </w:pPr>
            <w:r w:rsidRPr="00B043A2">
              <w:rPr>
                <w:b/>
                <w:spacing w:val="-4"/>
                <w:sz w:val="21"/>
                <w:szCs w:val="21"/>
                <w:lang w:val="es-CR"/>
              </w:rPr>
              <w:t xml:space="preserve">Sesión Plenaria 2: </w:t>
            </w:r>
            <w:r w:rsidRPr="00B043A2">
              <w:rPr>
                <w:b/>
                <w:i/>
                <w:color w:val="1F497D" w:themeColor="text2"/>
                <w:spacing w:val="-4"/>
                <w:sz w:val="21"/>
                <w:szCs w:val="21"/>
                <w:lang w:val="es-CR"/>
              </w:rPr>
              <w:t>La posición de América Latina y el Caribe en la nueva dinámica de la deslocalización de los servicios</w:t>
            </w:r>
            <w:r w:rsidRPr="00B043A2">
              <w:rPr>
                <w:b/>
                <w:spacing w:val="-4"/>
                <w:sz w:val="21"/>
                <w:szCs w:val="21"/>
                <w:lang w:val="es-CR"/>
              </w:rPr>
              <w:t xml:space="preserve"> - Moderador: Valentina Delich, </w:t>
            </w:r>
            <w:r w:rsidRPr="00BD3493">
              <w:rPr>
                <w:spacing w:val="-4"/>
                <w:sz w:val="21"/>
                <w:szCs w:val="21"/>
                <w:lang w:val="es-CR"/>
              </w:rPr>
              <w:t>Cátedra OMC FLACSO, Argentina</w:t>
            </w:r>
          </w:p>
        </w:tc>
      </w:tr>
      <w:tr w:rsidR="00CB074D" w:rsidRPr="00C73F70" w:rsidTr="001F03F7">
        <w:tc>
          <w:tcPr>
            <w:tcW w:w="1418" w:type="dxa"/>
            <w:vMerge/>
          </w:tcPr>
          <w:p w:rsidR="00712BCA" w:rsidRDefault="00712BCA">
            <w:pPr>
              <w:spacing w:before="60" w:after="60" w:line="240" w:lineRule="auto"/>
              <w:rPr>
                <w:sz w:val="21"/>
                <w:szCs w:val="21"/>
                <w:lang w:val="es-CR"/>
              </w:rPr>
            </w:pPr>
          </w:p>
        </w:tc>
        <w:tc>
          <w:tcPr>
            <w:tcW w:w="3712" w:type="dxa"/>
            <w:tcBorders>
              <w:top w:val="single" w:sz="4" w:space="0" w:color="auto"/>
              <w:bottom w:val="nil"/>
              <w:right w:val="single" w:sz="4" w:space="0" w:color="auto"/>
            </w:tcBorders>
          </w:tcPr>
          <w:p w:rsidR="00712BCA" w:rsidRDefault="00B043A2">
            <w:pPr>
              <w:spacing w:before="60" w:after="60" w:line="240" w:lineRule="auto"/>
              <w:rPr>
                <w:color w:val="00B050"/>
                <w:sz w:val="21"/>
                <w:szCs w:val="21"/>
                <w:lang w:val="es-CR"/>
              </w:rPr>
            </w:pPr>
            <w:r w:rsidRPr="00B043A2">
              <w:rPr>
                <w:rFonts w:asciiTheme="minorHAnsi" w:hAnsiTheme="minorHAnsi"/>
                <w:sz w:val="21"/>
                <w:szCs w:val="21"/>
                <w:lang w:val="es-ES_tradnl"/>
              </w:rPr>
              <w:t>Espacio de productos global de bienes y servicios. Proyección de Latinoamérica</w:t>
            </w:r>
          </w:p>
        </w:tc>
        <w:tc>
          <w:tcPr>
            <w:tcW w:w="4368" w:type="dxa"/>
            <w:tcBorders>
              <w:top w:val="single" w:sz="4" w:space="0" w:color="auto"/>
              <w:left w:val="single" w:sz="4" w:space="0" w:color="auto"/>
              <w:bottom w:val="nil"/>
              <w:right w:val="nil"/>
            </w:tcBorders>
          </w:tcPr>
          <w:p w:rsidR="00712BCA" w:rsidRDefault="00B043A2">
            <w:pPr>
              <w:spacing w:before="60" w:after="60" w:line="240" w:lineRule="auto"/>
              <w:jc w:val="both"/>
              <w:outlineLvl w:val="0"/>
              <w:rPr>
                <w:rFonts w:asciiTheme="minorHAnsi" w:hAnsiTheme="minorHAnsi"/>
                <w:sz w:val="21"/>
                <w:szCs w:val="21"/>
                <w:lang w:val="es-ES_tradnl"/>
              </w:rPr>
            </w:pPr>
            <w:r w:rsidRPr="00B043A2">
              <w:rPr>
                <w:rFonts w:asciiTheme="minorHAnsi" w:hAnsiTheme="minorHAnsi"/>
                <w:b/>
                <w:sz w:val="21"/>
                <w:szCs w:val="21"/>
                <w:lang w:val="es-ES_tradnl"/>
              </w:rPr>
              <w:t xml:space="preserve">Flavia Rovira, </w:t>
            </w:r>
            <w:r w:rsidRPr="00B043A2">
              <w:rPr>
                <w:rFonts w:asciiTheme="minorHAnsi" w:hAnsiTheme="minorHAnsi"/>
                <w:sz w:val="21"/>
                <w:szCs w:val="21"/>
                <w:lang w:val="es-ES_tradnl"/>
              </w:rPr>
              <w:t>CINVE/DECON, Uruguay</w:t>
            </w:r>
          </w:p>
        </w:tc>
      </w:tr>
      <w:tr w:rsidR="00CB074D" w:rsidRPr="001F03F7" w:rsidTr="00513705">
        <w:tc>
          <w:tcPr>
            <w:tcW w:w="1418" w:type="dxa"/>
            <w:vMerge/>
          </w:tcPr>
          <w:p w:rsidR="00712BCA" w:rsidRDefault="00712BCA">
            <w:pPr>
              <w:spacing w:before="60" w:after="60" w:line="240" w:lineRule="auto"/>
              <w:rPr>
                <w:sz w:val="21"/>
                <w:szCs w:val="21"/>
                <w:lang w:val="es-CR"/>
              </w:rPr>
            </w:pPr>
          </w:p>
        </w:tc>
        <w:tc>
          <w:tcPr>
            <w:tcW w:w="3712" w:type="dxa"/>
            <w:tcBorders>
              <w:top w:val="nil"/>
              <w:bottom w:val="nil"/>
              <w:right w:val="single" w:sz="4" w:space="0" w:color="auto"/>
            </w:tcBorders>
          </w:tcPr>
          <w:p w:rsidR="00712BCA" w:rsidRDefault="00B043A2">
            <w:pPr>
              <w:spacing w:before="60" w:after="60" w:line="240" w:lineRule="auto"/>
              <w:jc w:val="both"/>
              <w:outlineLvl w:val="0"/>
              <w:rPr>
                <w:rFonts w:asciiTheme="minorHAnsi" w:hAnsiTheme="minorHAnsi"/>
                <w:sz w:val="21"/>
                <w:szCs w:val="21"/>
                <w:lang w:val="es-ES_tradnl"/>
              </w:rPr>
            </w:pPr>
            <w:r w:rsidRPr="00B043A2">
              <w:rPr>
                <w:rFonts w:asciiTheme="minorHAnsi" w:hAnsiTheme="minorHAnsi"/>
                <w:sz w:val="21"/>
                <w:szCs w:val="21"/>
                <w:lang w:val="es-ES_tradnl"/>
              </w:rPr>
              <w:t>El comercio de servicios en los países de Centroamérica y el Caribe, 2000-2010</w:t>
            </w:r>
          </w:p>
        </w:tc>
        <w:tc>
          <w:tcPr>
            <w:tcW w:w="4368" w:type="dxa"/>
            <w:tcBorders>
              <w:top w:val="nil"/>
              <w:left w:val="single" w:sz="4" w:space="0" w:color="auto"/>
              <w:bottom w:val="nil"/>
              <w:right w:val="nil"/>
            </w:tcBorders>
          </w:tcPr>
          <w:p w:rsidR="00712BCA" w:rsidRDefault="00B043A2">
            <w:pPr>
              <w:spacing w:before="60" w:after="60" w:line="240" w:lineRule="auto"/>
              <w:jc w:val="both"/>
              <w:outlineLvl w:val="0"/>
              <w:rPr>
                <w:rFonts w:asciiTheme="minorHAnsi" w:hAnsiTheme="minorHAnsi"/>
                <w:sz w:val="21"/>
                <w:szCs w:val="21"/>
                <w:lang w:val="es-ES_tradnl"/>
              </w:rPr>
            </w:pPr>
            <w:r w:rsidRPr="00B043A2">
              <w:rPr>
                <w:rFonts w:asciiTheme="minorHAnsi" w:hAnsiTheme="minorHAnsi"/>
                <w:b/>
                <w:sz w:val="21"/>
                <w:szCs w:val="21"/>
                <w:lang w:val="es-ES_tradnl"/>
              </w:rPr>
              <w:t xml:space="preserve">Humberto García, </w:t>
            </w:r>
            <w:r w:rsidRPr="00B043A2">
              <w:rPr>
                <w:rFonts w:asciiTheme="minorHAnsi" w:hAnsiTheme="minorHAnsi"/>
                <w:sz w:val="21"/>
                <w:szCs w:val="21"/>
                <w:lang w:val="es-ES_tradnl"/>
              </w:rPr>
              <w:t>CEPAL, México</w:t>
            </w:r>
          </w:p>
        </w:tc>
      </w:tr>
      <w:tr w:rsidR="00CB074D" w:rsidRPr="00C73F70" w:rsidTr="00513705">
        <w:trPr>
          <w:trHeight w:val="530"/>
        </w:trPr>
        <w:tc>
          <w:tcPr>
            <w:tcW w:w="1418" w:type="dxa"/>
            <w:vMerge/>
          </w:tcPr>
          <w:p w:rsidR="00712BCA" w:rsidRDefault="00712BCA">
            <w:pPr>
              <w:spacing w:before="60" w:after="60" w:line="240" w:lineRule="auto"/>
              <w:rPr>
                <w:sz w:val="21"/>
                <w:szCs w:val="21"/>
                <w:lang w:val="es-ES"/>
              </w:rPr>
            </w:pPr>
          </w:p>
        </w:tc>
        <w:tc>
          <w:tcPr>
            <w:tcW w:w="3712" w:type="dxa"/>
            <w:tcBorders>
              <w:top w:val="nil"/>
              <w:bottom w:val="single" w:sz="4" w:space="0" w:color="auto"/>
              <w:right w:val="single" w:sz="4" w:space="0" w:color="auto"/>
            </w:tcBorders>
          </w:tcPr>
          <w:p w:rsidR="00712BCA" w:rsidRDefault="00B043A2">
            <w:pPr>
              <w:spacing w:before="60" w:after="60" w:line="240" w:lineRule="auto"/>
              <w:ind w:left="34"/>
              <w:jc w:val="both"/>
              <w:outlineLvl w:val="0"/>
              <w:rPr>
                <w:rFonts w:asciiTheme="minorHAnsi" w:hAnsiTheme="minorHAnsi"/>
                <w:sz w:val="21"/>
                <w:szCs w:val="21"/>
              </w:rPr>
            </w:pPr>
            <w:r w:rsidRPr="00B043A2">
              <w:rPr>
                <w:rFonts w:asciiTheme="minorHAnsi" w:hAnsiTheme="minorHAnsi"/>
                <w:sz w:val="21"/>
                <w:szCs w:val="21"/>
              </w:rPr>
              <w:t>Trade, investment and supply chains in services in Latin America: A review of the empirical literature</w:t>
            </w:r>
          </w:p>
        </w:tc>
        <w:tc>
          <w:tcPr>
            <w:tcW w:w="4368" w:type="dxa"/>
            <w:tcBorders>
              <w:top w:val="nil"/>
              <w:left w:val="single" w:sz="4" w:space="0" w:color="auto"/>
              <w:bottom w:val="single" w:sz="4" w:space="0" w:color="auto"/>
              <w:right w:val="nil"/>
            </w:tcBorders>
          </w:tcPr>
          <w:p w:rsidR="00712BCA" w:rsidRDefault="00B043A2">
            <w:pPr>
              <w:spacing w:before="60" w:after="60" w:line="240" w:lineRule="auto"/>
              <w:outlineLvl w:val="0"/>
              <w:rPr>
                <w:rFonts w:asciiTheme="minorHAnsi" w:hAnsiTheme="minorHAnsi"/>
                <w:sz w:val="21"/>
                <w:szCs w:val="21"/>
                <w:lang w:val="es-ES_tradnl"/>
              </w:rPr>
            </w:pPr>
            <w:r w:rsidRPr="00B043A2">
              <w:rPr>
                <w:rFonts w:asciiTheme="minorHAnsi" w:hAnsiTheme="minorHAnsi"/>
                <w:b/>
                <w:sz w:val="21"/>
                <w:szCs w:val="21"/>
                <w:lang w:val="es-ES_tradnl"/>
              </w:rPr>
              <w:t>Vivianne Ventura-Dias</w:t>
            </w:r>
            <w:r w:rsidRPr="00B043A2">
              <w:rPr>
                <w:rFonts w:asciiTheme="minorHAnsi" w:hAnsiTheme="minorHAnsi"/>
                <w:sz w:val="21"/>
                <w:szCs w:val="21"/>
                <w:lang w:val="es-ES_tradnl"/>
              </w:rPr>
              <w:t>, Red Latinoamericana de Politica Comercial, LATN</w:t>
            </w:r>
          </w:p>
        </w:tc>
      </w:tr>
      <w:tr w:rsidR="00781794" w:rsidRPr="00C73F70" w:rsidTr="00513705">
        <w:trPr>
          <w:trHeight w:val="530"/>
        </w:trPr>
        <w:tc>
          <w:tcPr>
            <w:tcW w:w="1418" w:type="dxa"/>
          </w:tcPr>
          <w:p w:rsidR="00712BCA" w:rsidRDefault="00B043A2">
            <w:pPr>
              <w:spacing w:before="60" w:after="60" w:line="240" w:lineRule="auto"/>
              <w:rPr>
                <w:sz w:val="21"/>
                <w:szCs w:val="21"/>
                <w:lang w:val="es-ES"/>
              </w:rPr>
            </w:pPr>
            <w:r w:rsidRPr="00B043A2">
              <w:rPr>
                <w:sz w:val="21"/>
                <w:szCs w:val="21"/>
                <w:lang w:val="es-ES"/>
              </w:rPr>
              <w:t>16:00 – 16:40</w:t>
            </w:r>
          </w:p>
        </w:tc>
        <w:tc>
          <w:tcPr>
            <w:tcW w:w="8080" w:type="dxa"/>
            <w:gridSpan w:val="2"/>
            <w:tcBorders>
              <w:top w:val="nil"/>
              <w:bottom w:val="single" w:sz="4" w:space="0" w:color="auto"/>
              <w:right w:val="nil"/>
            </w:tcBorders>
          </w:tcPr>
          <w:p w:rsidR="00712BCA" w:rsidRPr="000B6F34" w:rsidRDefault="00B043A2" w:rsidP="00554B1A">
            <w:pPr>
              <w:spacing w:before="60" w:after="60" w:line="240" w:lineRule="auto"/>
              <w:jc w:val="both"/>
              <w:outlineLvl w:val="0"/>
              <w:rPr>
                <w:rFonts w:asciiTheme="minorHAnsi" w:hAnsiTheme="minorHAnsi"/>
                <w:b/>
                <w:i/>
                <w:color w:val="17365D" w:themeColor="text2" w:themeShade="BF"/>
                <w:sz w:val="21"/>
                <w:szCs w:val="21"/>
              </w:rPr>
            </w:pPr>
            <w:r w:rsidRPr="000B6F34">
              <w:rPr>
                <w:rFonts w:asciiTheme="minorHAnsi" w:hAnsiTheme="minorHAnsi"/>
                <w:b/>
                <w:i/>
                <w:color w:val="17365D" w:themeColor="text2" w:themeShade="BF"/>
                <w:sz w:val="21"/>
                <w:szCs w:val="21"/>
              </w:rPr>
              <w:t>Keynote Speaker</w:t>
            </w:r>
            <w:r w:rsidRPr="000B6F34">
              <w:rPr>
                <w:rFonts w:asciiTheme="minorHAnsi" w:hAnsiTheme="minorHAnsi"/>
                <w:i/>
                <w:color w:val="FF0000"/>
                <w:sz w:val="21"/>
                <w:szCs w:val="21"/>
              </w:rPr>
              <w:t xml:space="preserve">: </w:t>
            </w:r>
            <w:r w:rsidR="00554B1A" w:rsidRPr="000B6F34">
              <w:t>Multilateral and RTA commitments on services: How relevant for global value chains?</w:t>
            </w:r>
          </w:p>
          <w:p w:rsidR="00712BCA" w:rsidRDefault="00B043A2">
            <w:pPr>
              <w:spacing w:before="60" w:after="60" w:line="240" w:lineRule="auto"/>
              <w:jc w:val="both"/>
              <w:rPr>
                <w:rFonts w:asciiTheme="minorHAnsi" w:hAnsiTheme="minorHAnsi"/>
                <w:sz w:val="21"/>
                <w:szCs w:val="21"/>
                <w:lang w:val="es-ES_tradnl"/>
              </w:rPr>
            </w:pPr>
            <w:r w:rsidRPr="00B043A2">
              <w:rPr>
                <w:rFonts w:asciiTheme="minorHAnsi" w:hAnsiTheme="minorHAnsi"/>
                <w:b/>
                <w:sz w:val="21"/>
                <w:szCs w:val="21"/>
                <w:lang w:val="es-ES_tradnl"/>
              </w:rPr>
              <w:t>Martin Roy</w:t>
            </w:r>
            <w:r w:rsidRPr="00B043A2">
              <w:rPr>
                <w:rFonts w:asciiTheme="minorHAnsi" w:hAnsiTheme="minorHAnsi"/>
                <w:sz w:val="21"/>
                <w:szCs w:val="21"/>
                <w:lang w:val="es-ES_tradnl"/>
              </w:rPr>
              <w:t>, Organización Mundial del Comercio, Suiza</w:t>
            </w:r>
          </w:p>
        </w:tc>
      </w:tr>
      <w:tr w:rsidR="00CB074D" w:rsidRPr="001F03F7" w:rsidTr="001F03F7">
        <w:tc>
          <w:tcPr>
            <w:tcW w:w="1418" w:type="dxa"/>
            <w:tcBorders>
              <w:top w:val="single" w:sz="4" w:space="0" w:color="auto"/>
            </w:tcBorders>
            <w:shd w:val="clear" w:color="auto" w:fill="F2F2F2"/>
          </w:tcPr>
          <w:p w:rsidR="00712BCA" w:rsidRDefault="00B043A2">
            <w:pPr>
              <w:spacing w:before="60" w:after="60" w:line="240" w:lineRule="auto"/>
              <w:rPr>
                <w:sz w:val="21"/>
                <w:szCs w:val="21"/>
                <w:lang w:val="es-CR"/>
              </w:rPr>
            </w:pPr>
            <w:r w:rsidRPr="00B043A2">
              <w:rPr>
                <w:sz w:val="21"/>
                <w:szCs w:val="21"/>
                <w:lang w:val="es-CR"/>
              </w:rPr>
              <w:t>16:40 – 17:00</w:t>
            </w:r>
          </w:p>
        </w:tc>
        <w:tc>
          <w:tcPr>
            <w:tcW w:w="8080" w:type="dxa"/>
            <w:gridSpan w:val="2"/>
            <w:tcBorders>
              <w:top w:val="single" w:sz="4" w:space="0" w:color="auto"/>
            </w:tcBorders>
            <w:shd w:val="clear" w:color="auto" w:fill="F2F2F2"/>
          </w:tcPr>
          <w:p w:rsidR="00712BCA" w:rsidRDefault="00B043A2">
            <w:pPr>
              <w:spacing w:before="60" w:after="60" w:line="240" w:lineRule="auto"/>
              <w:rPr>
                <w:sz w:val="21"/>
                <w:szCs w:val="21"/>
                <w:lang w:val="es-CR"/>
              </w:rPr>
            </w:pPr>
            <w:r w:rsidRPr="00B043A2">
              <w:rPr>
                <w:sz w:val="21"/>
                <w:szCs w:val="21"/>
                <w:lang w:val="es-CR"/>
              </w:rPr>
              <w:t>Café</w:t>
            </w:r>
          </w:p>
        </w:tc>
      </w:tr>
      <w:tr w:rsidR="0033781C" w:rsidRPr="001F03F7" w:rsidTr="001F03F7">
        <w:tc>
          <w:tcPr>
            <w:tcW w:w="1418" w:type="dxa"/>
          </w:tcPr>
          <w:p w:rsidR="00712BCA" w:rsidRDefault="00B043A2">
            <w:pPr>
              <w:spacing w:before="60" w:after="60" w:line="240" w:lineRule="auto"/>
              <w:rPr>
                <w:sz w:val="21"/>
                <w:szCs w:val="21"/>
                <w:lang w:val="es-CR"/>
              </w:rPr>
            </w:pPr>
            <w:r w:rsidRPr="00B043A2">
              <w:rPr>
                <w:sz w:val="21"/>
                <w:szCs w:val="21"/>
                <w:lang w:val="es-CR"/>
              </w:rPr>
              <w:t>17:00 – 18:15</w:t>
            </w:r>
          </w:p>
        </w:tc>
        <w:tc>
          <w:tcPr>
            <w:tcW w:w="8080" w:type="dxa"/>
            <w:gridSpan w:val="2"/>
            <w:tcBorders>
              <w:bottom w:val="single" w:sz="4" w:space="0" w:color="auto"/>
            </w:tcBorders>
          </w:tcPr>
          <w:p w:rsidR="00712BCA" w:rsidRDefault="00B043A2">
            <w:pPr>
              <w:spacing w:before="60" w:after="60" w:line="240" w:lineRule="auto"/>
              <w:jc w:val="both"/>
              <w:rPr>
                <w:rFonts w:asciiTheme="minorHAnsi" w:hAnsiTheme="minorHAnsi"/>
                <w:b/>
                <w:sz w:val="21"/>
                <w:szCs w:val="21"/>
                <w:lang w:val="es-ES_tradnl"/>
              </w:rPr>
            </w:pPr>
            <w:r w:rsidRPr="00B043A2">
              <w:rPr>
                <w:rFonts w:asciiTheme="minorHAnsi" w:hAnsiTheme="minorHAnsi"/>
                <w:b/>
                <w:i/>
                <w:color w:val="17365D" w:themeColor="text2" w:themeShade="BF"/>
                <w:sz w:val="21"/>
                <w:szCs w:val="21"/>
                <w:lang w:val="es-ES_tradnl"/>
              </w:rPr>
              <w:t>Sesiones paralelas I &amp; II</w:t>
            </w:r>
          </w:p>
        </w:tc>
      </w:tr>
      <w:tr w:rsidR="00671A99" w:rsidRPr="00C73F70" w:rsidTr="001F03F7">
        <w:tc>
          <w:tcPr>
            <w:tcW w:w="1418" w:type="dxa"/>
            <w:vMerge w:val="restart"/>
          </w:tcPr>
          <w:p w:rsidR="00712BCA" w:rsidRDefault="00B043A2" w:rsidP="000545B7">
            <w:pPr>
              <w:spacing w:before="60" w:after="60" w:line="240" w:lineRule="auto"/>
              <w:rPr>
                <w:sz w:val="21"/>
                <w:szCs w:val="21"/>
                <w:lang w:val="es-CR"/>
              </w:rPr>
            </w:pPr>
            <w:r w:rsidRPr="00B043A2">
              <w:rPr>
                <w:sz w:val="21"/>
                <w:szCs w:val="21"/>
                <w:lang w:val="es-CR"/>
              </w:rPr>
              <w:t>1</w:t>
            </w:r>
            <w:r w:rsidR="000545B7">
              <w:rPr>
                <w:sz w:val="21"/>
                <w:szCs w:val="21"/>
                <w:lang w:val="es-CR"/>
              </w:rPr>
              <w:t>7</w:t>
            </w:r>
            <w:r w:rsidRPr="00B043A2">
              <w:rPr>
                <w:sz w:val="21"/>
                <w:szCs w:val="21"/>
                <w:lang w:val="es-CR"/>
              </w:rPr>
              <w:t>:</w:t>
            </w:r>
            <w:r w:rsidR="000545B7">
              <w:rPr>
                <w:sz w:val="21"/>
                <w:szCs w:val="21"/>
                <w:lang w:val="es-CR"/>
              </w:rPr>
              <w:t>0</w:t>
            </w:r>
            <w:r w:rsidRPr="00B043A2">
              <w:rPr>
                <w:sz w:val="21"/>
                <w:szCs w:val="21"/>
                <w:lang w:val="es-CR"/>
              </w:rPr>
              <w:t>0 – 18:</w:t>
            </w:r>
            <w:r w:rsidR="000545B7">
              <w:rPr>
                <w:sz w:val="21"/>
                <w:szCs w:val="21"/>
                <w:lang w:val="es-CR"/>
              </w:rPr>
              <w:t>15</w:t>
            </w:r>
          </w:p>
        </w:tc>
        <w:tc>
          <w:tcPr>
            <w:tcW w:w="8080" w:type="dxa"/>
            <w:gridSpan w:val="2"/>
            <w:tcBorders>
              <w:bottom w:val="single" w:sz="4" w:space="0" w:color="auto"/>
            </w:tcBorders>
          </w:tcPr>
          <w:p w:rsidR="00712BCA" w:rsidRDefault="00B043A2">
            <w:pPr>
              <w:spacing w:before="60" w:after="60" w:line="240" w:lineRule="auto"/>
              <w:jc w:val="both"/>
              <w:outlineLvl w:val="0"/>
              <w:rPr>
                <w:rFonts w:asciiTheme="minorHAnsi" w:hAnsiTheme="minorHAnsi"/>
                <w:b/>
                <w:sz w:val="21"/>
                <w:szCs w:val="21"/>
                <w:lang w:val="es-ES_tradnl"/>
              </w:rPr>
            </w:pPr>
            <w:r w:rsidRPr="00B043A2">
              <w:rPr>
                <w:b/>
                <w:color w:val="1F497D" w:themeColor="text2"/>
                <w:sz w:val="21"/>
                <w:szCs w:val="21"/>
                <w:lang w:val="es-CR"/>
              </w:rPr>
              <w:t>Sesión I:</w:t>
            </w:r>
            <w:r w:rsidRPr="00B043A2">
              <w:rPr>
                <w:color w:val="1F497D" w:themeColor="text2"/>
                <w:sz w:val="21"/>
                <w:szCs w:val="21"/>
                <w:lang w:val="es-CR"/>
              </w:rPr>
              <w:t xml:space="preserve"> </w:t>
            </w:r>
            <w:r w:rsidRPr="00B043A2">
              <w:rPr>
                <w:rFonts w:asciiTheme="minorHAnsi" w:hAnsiTheme="minorHAnsi"/>
                <w:b/>
                <w:i/>
                <w:color w:val="1F497D" w:themeColor="text2"/>
                <w:sz w:val="21"/>
                <w:szCs w:val="21"/>
                <w:lang w:val="es-ES_tradnl"/>
              </w:rPr>
              <w:t>La</w:t>
            </w:r>
            <w:r w:rsidRPr="00B043A2">
              <w:rPr>
                <w:rFonts w:asciiTheme="minorHAnsi" w:hAnsiTheme="minorHAnsi"/>
                <w:b/>
                <w:i/>
                <w:color w:val="17365D" w:themeColor="text2" w:themeShade="BF"/>
                <w:sz w:val="21"/>
                <w:szCs w:val="21"/>
                <w:lang w:val="es-ES_tradnl"/>
              </w:rPr>
              <w:t xml:space="preserve"> importancia de los marcos regulatorios para promover los servicios</w:t>
            </w:r>
            <w:r w:rsidRPr="00B043A2">
              <w:rPr>
                <w:rFonts w:asciiTheme="minorHAnsi" w:hAnsiTheme="minorHAnsi"/>
                <w:b/>
                <w:sz w:val="21"/>
                <w:szCs w:val="21"/>
                <w:lang w:val="es-ES_tradnl"/>
              </w:rPr>
              <w:t xml:space="preserve"> </w:t>
            </w:r>
          </w:p>
          <w:p w:rsidR="00712BCA" w:rsidRDefault="00B043A2">
            <w:pPr>
              <w:spacing w:before="60" w:after="60" w:line="240" w:lineRule="auto"/>
              <w:jc w:val="both"/>
              <w:outlineLvl w:val="0"/>
              <w:rPr>
                <w:rFonts w:asciiTheme="minorHAnsi" w:hAnsiTheme="minorHAnsi"/>
                <w:spacing w:val="-2"/>
                <w:sz w:val="21"/>
                <w:szCs w:val="21"/>
                <w:lang w:val="es-ES_tradnl"/>
              </w:rPr>
            </w:pPr>
            <w:r w:rsidRPr="00B043A2">
              <w:rPr>
                <w:rFonts w:asciiTheme="minorHAnsi" w:hAnsiTheme="minorHAnsi"/>
                <w:spacing w:val="-2"/>
                <w:sz w:val="21"/>
                <w:szCs w:val="21"/>
                <w:lang w:val="es-ES_tradnl"/>
              </w:rPr>
              <w:t xml:space="preserve">(Sala Celso Furtado) - </w:t>
            </w:r>
            <w:r w:rsidRPr="00BD3493">
              <w:rPr>
                <w:rFonts w:asciiTheme="minorHAnsi" w:hAnsiTheme="minorHAnsi"/>
                <w:b/>
                <w:spacing w:val="-2"/>
                <w:sz w:val="21"/>
                <w:szCs w:val="21"/>
                <w:lang w:val="es-ES_tradnl"/>
              </w:rPr>
              <w:t>Moderador:</w:t>
            </w:r>
            <w:r w:rsidRPr="00B043A2">
              <w:rPr>
                <w:rFonts w:asciiTheme="minorHAnsi" w:hAnsiTheme="minorHAnsi"/>
                <w:spacing w:val="-2"/>
                <w:sz w:val="21"/>
                <w:szCs w:val="21"/>
                <w:lang w:val="es-ES_tradnl"/>
              </w:rPr>
              <w:t xml:space="preserve"> </w:t>
            </w:r>
            <w:r w:rsidRPr="00B043A2">
              <w:rPr>
                <w:rFonts w:asciiTheme="minorHAnsi" w:hAnsiTheme="minorHAnsi"/>
                <w:b/>
                <w:spacing w:val="-2"/>
                <w:sz w:val="21"/>
                <w:szCs w:val="21"/>
                <w:lang w:val="es-ES_tradnl"/>
              </w:rPr>
              <w:t>Francis</w:t>
            </w:r>
            <w:r w:rsidR="002D7275" w:rsidRPr="00D51A4A">
              <w:rPr>
                <w:rFonts w:asciiTheme="minorHAnsi" w:hAnsiTheme="minorHAnsi"/>
                <w:b/>
                <w:spacing w:val="-2"/>
                <w:sz w:val="21"/>
                <w:szCs w:val="21"/>
                <w:lang w:val="es-ES_tradnl"/>
              </w:rPr>
              <w:t>c</w:t>
            </w:r>
            <w:r w:rsidRPr="00B043A2">
              <w:rPr>
                <w:rFonts w:asciiTheme="minorHAnsi" w:hAnsiTheme="minorHAnsi"/>
                <w:b/>
                <w:spacing w:val="-2"/>
                <w:sz w:val="21"/>
                <w:szCs w:val="21"/>
                <w:lang w:val="es-ES_tradnl"/>
              </w:rPr>
              <w:t>o Prieto</w:t>
            </w:r>
            <w:r w:rsidRPr="00B043A2">
              <w:rPr>
                <w:rFonts w:asciiTheme="minorHAnsi" w:hAnsiTheme="minorHAnsi"/>
                <w:spacing w:val="-2"/>
                <w:sz w:val="21"/>
                <w:szCs w:val="21"/>
                <w:lang w:val="es-ES_tradnl"/>
              </w:rPr>
              <w:t>, Cátedra OMC-Universidad de Chile, Chile</w:t>
            </w:r>
          </w:p>
        </w:tc>
      </w:tr>
      <w:tr w:rsidR="00671A99" w:rsidRPr="00C73F70" w:rsidTr="001F03F7">
        <w:tc>
          <w:tcPr>
            <w:tcW w:w="1418" w:type="dxa"/>
            <w:vMerge/>
          </w:tcPr>
          <w:p w:rsidR="00712BCA" w:rsidRDefault="00712BCA">
            <w:pPr>
              <w:spacing w:before="60" w:after="60" w:line="240" w:lineRule="auto"/>
              <w:rPr>
                <w:sz w:val="21"/>
                <w:szCs w:val="21"/>
                <w:lang w:val="es-CR"/>
              </w:rPr>
            </w:pPr>
          </w:p>
        </w:tc>
        <w:tc>
          <w:tcPr>
            <w:tcW w:w="3712" w:type="dxa"/>
            <w:tcBorders>
              <w:top w:val="single" w:sz="4" w:space="0" w:color="auto"/>
              <w:bottom w:val="nil"/>
              <w:right w:val="single" w:sz="4" w:space="0" w:color="auto"/>
            </w:tcBorders>
          </w:tcPr>
          <w:p w:rsidR="00712BCA" w:rsidRDefault="00B043A2">
            <w:pPr>
              <w:spacing w:before="60" w:after="60" w:line="240" w:lineRule="auto"/>
              <w:rPr>
                <w:color w:val="00B050"/>
                <w:sz w:val="21"/>
                <w:szCs w:val="21"/>
              </w:rPr>
            </w:pPr>
            <w:r w:rsidRPr="00B043A2">
              <w:rPr>
                <w:rFonts w:asciiTheme="minorHAnsi" w:hAnsiTheme="minorHAnsi"/>
                <w:sz w:val="21"/>
                <w:szCs w:val="21"/>
              </w:rPr>
              <w:t>GATS and offshoring: is the regulatory framework ready for the trade revolution?</w:t>
            </w:r>
          </w:p>
        </w:tc>
        <w:tc>
          <w:tcPr>
            <w:tcW w:w="4368" w:type="dxa"/>
            <w:tcBorders>
              <w:top w:val="single" w:sz="4" w:space="0" w:color="auto"/>
              <w:left w:val="single" w:sz="4" w:space="0" w:color="auto"/>
              <w:bottom w:val="nil"/>
              <w:right w:val="nil"/>
            </w:tcBorders>
          </w:tcPr>
          <w:p w:rsidR="00712BCA" w:rsidRDefault="00B043A2">
            <w:pPr>
              <w:spacing w:before="60" w:after="60" w:line="240" w:lineRule="auto"/>
              <w:outlineLvl w:val="0"/>
              <w:rPr>
                <w:rFonts w:asciiTheme="minorHAnsi" w:hAnsiTheme="minorHAnsi"/>
                <w:sz w:val="21"/>
                <w:szCs w:val="21"/>
                <w:lang w:val="es-ES_tradnl"/>
              </w:rPr>
            </w:pPr>
            <w:r w:rsidRPr="00B043A2">
              <w:rPr>
                <w:rFonts w:asciiTheme="minorHAnsi" w:hAnsiTheme="minorHAnsi"/>
                <w:b/>
                <w:sz w:val="21"/>
                <w:szCs w:val="21"/>
                <w:lang w:val="es-ES_tradnl"/>
              </w:rPr>
              <w:t>Gabriel Gari</w:t>
            </w:r>
            <w:r w:rsidRPr="00B043A2">
              <w:rPr>
                <w:rFonts w:asciiTheme="minorHAnsi" w:hAnsiTheme="minorHAnsi"/>
                <w:sz w:val="21"/>
                <w:szCs w:val="21"/>
                <w:lang w:val="es-ES_tradnl"/>
              </w:rPr>
              <w:t>, Queen Mary University, Reino Unido</w:t>
            </w:r>
          </w:p>
        </w:tc>
      </w:tr>
      <w:tr w:rsidR="00671A99" w:rsidRPr="00C73F70" w:rsidTr="00513705">
        <w:tc>
          <w:tcPr>
            <w:tcW w:w="1418" w:type="dxa"/>
            <w:vMerge/>
          </w:tcPr>
          <w:p w:rsidR="00712BCA" w:rsidRDefault="00712BCA">
            <w:pPr>
              <w:spacing w:before="60" w:after="60" w:line="240" w:lineRule="auto"/>
              <w:rPr>
                <w:sz w:val="21"/>
                <w:szCs w:val="21"/>
                <w:lang w:val="es-CR"/>
              </w:rPr>
            </w:pPr>
          </w:p>
        </w:tc>
        <w:tc>
          <w:tcPr>
            <w:tcW w:w="3712" w:type="dxa"/>
            <w:tcBorders>
              <w:top w:val="nil"/>
              <w:bottom w:val="nil"/>
              <w:right w:val="single" w:sz="4" w:space="0" w:color="auto"/>
            </w:tcBorders>
          </w:tcPr>
          <w:p w:rsidR="00712BCA" w:rsidRDefault="00B043A2">
            <w:pPr>
              <w:spacing w:before="60" w:after="60" w:line="240" w:lineRule="auto"/>
              <w:ind w:left="34"/>
              <w:outlineLvl w:val="0"/>
              <w:rPr>
                <w:rFonts w:asciiTheme="minorHAnsi" w:hAnsiTheme="minorHAnsi"/>
                <w:sz w:val="21"/>
                <w:szCs w:val="21"/>
                <w:lang w:val="es-ES_tradnl"/>
              </w:rPr>
            </w:pPr>
            <w:r w:rsidRPr="00B043A2">
              <w:rPr>
                <w:rFonts w:asciiTheme="minorHAnsi" w:hAnsiTheme="minorHAnsi"/>
                <w:sz w:val="21"/>
                <w:szCs w:val="21"/>
                <w:lang w:val="es-ES_tradnl"/>
              </w:rPr>
              <w:t>El nivel de encadenamiento de las empresas de servicios en el régimen de zona franca de Costa Rica</w:t>
            </w:r>
          </w:p>
        </w:tc>
        <w:tc>
          <w:tcPr>
            <w:tcW w:w="4368" w:type="dxa"/>
            <w:tcBorders>
              <w:top w:val="nil"/>
              <w:left w:val="single" w:sz="4" w:space="0" w:color="auto"/>
              <w:bottom w:val="nil"/>
              <w:right w:val="nil"/>
            </w:tcBorders>
          </w:tcPr>
          <w:p w:rsidR="00712BCA" w:rsidRDefault="00B043A2">
            <w:pPr>
              <w:spacing w:before="60" w:after="60" w:line="240" w:lineRule="auto"/>
              <w:outlineLvl w:val="0"/>
              <w:rPr>
                <w:color w:val="000000" w:themeColor="text1"/>
                <w:sz w:val="21"/>
                <w:szCs w:val="21"/>
                <w:lang w:val="es-ES_tradnl"/>
              </w:rPr>
            </w:pPr>
            <w:r w:rsidRPr="00B043A2">
              <w:rPr>
                <w:rFonts w:asciiTheme="minorHAnsi" w:hAnsiTheme="minorHAnsi"/>
                <w:b/>
                <w:sz w:val="21"/>
                <w:szCs w:val="21"/>
                <w:lang w:val="es-ES_tradnl"/>
              </w:rPr>
              <w:t>Juan José Flores,</w:t>
            </w:r>
            <w:r w:rsidRPr="00B043A2">
              <w:rPr>
                <w:rFonts w:asciiTheme="minorHAnsi" w:hAnsiTheme="minorHAnsi"/>
                <w:sz w:val="21"/>
                <w:szCs w:val="21"/>
                <w:lang w:val="es-ES_tradnl"/>
              </w:rPr>
              <w:t xml:space="preserve"> Universidad de Costa Rica, Costa Rica</w:t>
            </w:r>
          </w:p>
        </w:tc>
      </w:tr>
      <w:tr w:rsidR="00671A99" w:rsidRPr="00C73F70" w:rsidTr="00513705">
        <w:trPr>
          <w:trHeight w:val="710"/>
        </w:trPr>
        <w:tc>
          <w:tcPr>
            <w:tcW w:w="1418" w:type="dxa"/>
            <w:vMerge/>
          </w:tcPr>
          <w:p w:rsidR="00712BCA" w:rsidRDefault="00712BCA">
            <w:pPr>
              <w:spacing w:before="60" w:after="60" w:line="240" w:lineRule="auto"/>
              <w:rPr>
                <w:sz w:val="21"/>
                <w:szCs w:val="21"/>
                <w:lang w:val="es-CR"/>
              </w:rPr>
            </w:pPr>
          </w:p>
        </w:tc>
        <w:tc>
          <w:tcPr>
            <w:tcW w:w="3712" w:type="dxa"/>
            <w:tcBorders>
              <w:top w:val="nil"/>
              <w:bottom w:val="single" w:sz="4" w:space="0" w:color="auto"/>
              <w:right w:val="single" w:sz="4" w:space="0" w:color="auto"/>
            </w:tcBorders>
          </w:tcPr>
          <w:p w:rsidR="00712BCA" w:rsidRDefault="00B043A2">
            <w:pPr>
              <w:spacing w:before="60" w:after="60" w:line="240" w:lineRule="auto"/>
              <w:ind w:left="34"/>
              <w:outlineLvl w:val="0"/>
              <w:rPr>
                <w:rFonts w:asciiTheme="minorHAnsi" w:hAnsiTheme="minorHAnsi"/>
                <w:sz w:val="21"/>
                <w:szCs w:val="21"/>
                <w:lang w:val="es-ES_tradnl"/>
              </w:rPr>
            </w:pPr>
            <w:r w:rsidRPr="00B043A2">
              <w:rPr>
                <w:rFonts w:asciiTheme="minorHAnsi" w:hAnsiTheme="minorHAnsi"/>
                <w:sz w:val="21"/>
                <w:szCs w:val="21"/>
                <w:lang w:val="es-ES_tradnl"/>
              </w:rPr>
              <w:t>El rol del gobierno en la integración de estrategias ambientales en las PYMES. Caso México</w:t>
            </w:r>
          </w:p>
        </w:tc>
        <w:tc>
          <w:tcPr>
            <w:tcW w:w="4368" w:type="dxa"/>
            <w:tcBorders>
              <w:top w:val="nil"/>
              <w:left w:val="single" w:sz="4" w:space="0" w:color="auto"/>
              <w:bottom w:val="single" w:sz="4" w:space="0" w:color="auto"/>
              <w:right w:val="nil"/>
            </w:tcBorders>
          </w:tcPr>
          <w:p w:rsidR="00712BCA" w:rsidRDefault="00B043A2">
            <w:pPr>
              <w:spacing w:before="60" w:after="60" w:line="240" w:lineRule="auto"/>
              <w:outlineLvl w:val="0"/>
              <w:rPr>
                <w:sz w:val="21"/>
                <w:szCs w:val="21"/>
                <w:lang w:val="es-ES"/>
              </w:rPr>
            </w:pPr>
            <w:r w:rsidRPr="00B043A2">
              <w:rPr>
                <w:rFonts w:asciiTheme="minorHAnsi" w:hAnsiTheme="minorHAnsi"/>
                <w:sz w:val="21"/>
                <w:szCs w:val="21"/>
                <w:lang w:val="es-ES_tradnl"/>
              </w:rPr>
              <w:t xml:space="preserve">Salvador Ruiz &amp; </w:t>
            </w:r>
            <w:r w:rsidRPr="00B043A2">
              <w:rPr>
                <w:rFonts w:asciiTheme="minorHAnsi" w:hAnsiTheme="minorHAnsi"/>
                <w:b/>
                <w:sz w:val="21"/>
                <w:szCs w:val="21"/>
                <w:lang w:val="es-ES_tradnl"/>
              </w:rPr>
              <w:t>Eva Conraud</w:t>
            </w:r>
            <w:r w:rsidRPr="00B043A2">
              <w:rPr>
                <w:rFonts w:asciiTheme="minorHAnsi" w:hAnsiTheme="minorHAnsi"/>
                <w:sz w:val="21"/>
                <w:szCs w:val="21"/>
                <w:lang w:val="es-ES_tradnl"/>
              </w:rPr>
              <w:t>, Universidad de Guanajuato, México</w:t>
            </w:r>
          </w:p>
        </w:tc>
      </w:tr>
      <w:tr w:rsidR="00671A99" w:rsidRPr="00C73F70" w:rsidTr="00513705">
        <w:trPr>
          <w:trHeight w:val="502"/>
        </w:trPr>
        <w:tc>
          <w:tcPr>
            <w:tcW w:w="1418" w:type="dxa"/>
            <w:vMerge/>
          </w:tcPr>
          <w:p w:rsidR="00712BCA" w:rsidRDefault="00712BCA">
            <w:pPr>
              <w:spacing w:before="60" w:after="60" w:line="240" w:lineRule="auto"/>
              <w:rPr>
                <w:sz w:val="21"/>
                <w:szCs w:val="21"/>
                <w:lang w:val="es-CR"/>
              </w:rPr>
            </w:pPr>
          </w:p>
        </w:tc>
        <w:tc>
          <w:tcPr>
            <w:tcW w:w="8080" w:type="dxa"/>
            <w:gridSpan w:val="2"/>
            <w:tcBorders>
              <w:top w:val="nil"/>
              <w:right w:val="nil"/>
            </w:tcBorders>
          </w:tcPr>
          <w:p w:rsidR="00712BCA" w:rsidRDefault="00B043A2">
            <w:pPr>
              <w:spacing w:before="60" w:after="60" w:line="240" w:lineRule="auto"/>
              <w:jc w:val="both"/>
              <w:outlineLvl w:val="0"/>
              <w:rPr>
                <w:rFonts w:asciiTheme="minorHAnsi" w:hAnsiTheme="minorHAnsi"/>
                <w:b/>
                <w:i/>
                <w:color w:val="17365D" w:themeColor="text2" w:themeShade="BF"/>
                <w:sz w:val="21"/>
                <w:szCs w:val="21"/>
                <w:lang w:val="es-ES_tradnl"/>
              </w:rPr>
            </w:pPr>
            <w:r w:rsidRPr="00B043A2">
              <w:rPr>
                <w:rFonts w:asciiTheme="minorHAnsi" w:hAnsiTheme="minorHAnsi"/>
                <w:b/>
                <w:i/>
                <w:color w:val="17365D" w:themeColor="text2" w:themeShade="BF"/>
                <w:sz w:val="21"/>
                <w:szCs w:val="21"/>
                <w:lang w:val="es-ES_tradnl"/>
              </w:rPr>
              <w:t xml:space="preserve">Sesión II: La participación de PYMES en los servicios globales </w:t>
            </w:r>
          </w:p>
          <w:p w:rsidR="00712BCA" w:rsidRDefault="00B043A2">
            <w:pPr>
              <w:spacing w:before="60" w:after="60" w:line="240" w:lineRule="auto"/>
              <w:jc w:val="both"/>
              <w:rPr>
                <w:rFonts w:asciiTheme="minorHAnsi" w:hAnsiTheme="minorHAnsi"/>
                <w:b/>
                <w:sz w:val="21"/>
                <w:szCs w:val="21"/>
                <w:lang w:val="es-ES_tradnl"/>
              </w:rPr>
            </w:pPr>
            <w:r w:rsidRPr="00B043A2">
              <w:rPr>
                <w:rFonts w:asciiTheme="minorHAnsi" w:hAnsiTheme="minorHAnsi"/>
                <w:sz w:val="21"/>
                <w:szCs w:val="21"/>
                <w:lang w:val="es-ES_tradnl"/>
              </w:rPr>
              <w:t xml:space="preserve">(Auditorio Enrique V. Iglesias) - </w:t>
            </w:r>
            <w:r w:rsidRPr="00BD3493">
              <w:rPr>
                <w:rFonts w:asciiTheme="minorHAnsi" w:hAnsiTheme="minorHAnsi"/>
                <w:b/>
                <w:sz w:val="21"/>
                <w:szCs w:val="21"/>
                <w:lang w:val="es-ES_tradnl"/>
              </w:rPr>
              <w:t>Moderador:</w:t>
            </w:r>
            <w:r w:rsidRPr="00B043A2">
              <w:rPr>
                <w:rFonts w:asciiTheme="minorHAnsi" w:hAnsiTheme="minorHAnsi"/>
                <w:sz w:val="21"/>
                <w:szCs w:val="21"/>
                <w:lang w:val="es-ES_tradnl"/>
              </w:rPr>
              <w:t xml:space="preserve"> </w:t>
            </w:r>
            <w:r w:rsidRPr="00B043A2">
              <w:rPr>
                <w:rFonts w:asciiTheme="minorHAnsi" w:hAnsiTheme="minorHAnsi"/>
                <w:b/>
                <w:sz w:val="21"/>
                <w:szCs w:val="21"/>
                <w:lang w:val="es-ES_tradnl"/>
              </w:rPr>
              <w:t>Nanno Mulder</w:t>
            </w:r>
            <w:r w:rsidRPr="00B043A2">
              <w:rPr>
                <w:rFonts w:asciiTheme="minorHAnsi" w:hAnsiTheme="minorHAnsi"/>
                <w:sz w:val="21"/>
                <w:szCs w:val="21"/>
                <w:lang w:val="es-ES_tradnl"/>
              </w:rPr>
              <w:t>, CEPAL</w:t>
            </w:r>
          </w:p>
        </w:tc>
      </w:tr>
      <w:tr w:rsidR="00671A99" w:rsidRPr="00F6236B" w:rsidTr="000545B7">
        <w:trPr>
          <w:trHeight w:val="553"/>
        </w:trPr>
        <w:tc>
          <w:tcPr>
            <w:tcW w:w="1418" w:type="dxa"/>
            <w:vMerge/>
          </w:tcPr>
          <w:p w:rsidR="00712BCA" w:rsidRDefault="00712BCA">
            <w:pPr>
              <w:spacing w:before="60" w:after="60" w:line="240" w:lineRule="auto"/>
              <w:rPr>
                <w:sz w:val="21"/>
                <w:szCs w:val="21"/>
                <w:lang w:val="es-CR"/>
              </w:rPr>
            </w:pPr>
          </w:p>
        </w:tc>
        <w:tc>
          <w:tcPr>
            <w:tcW w:w="3712" w:type="dxa"/>
            <w:tcBorders>
              <w:top w:val="nil"/>
              <w:bottom w:val="nil"/>
              <w:right w:val="single" w:sz="4" w:space="0" w:color="auto"/>
            </w:tcBorders>
          </w:tcPr>
          <w:p w:rsidR="00712BCA" w:rsidRDefault="00B043A2">
            <w:pPr>
              <w:spacing w:before="60" w:after="60" w:line="240" w:lineRule="auto"/>
              <w:ind w:left="34"/>
              <w:jc w:val="both"/>
              <w:outlineLvl w:val="0"/>
              <w:rPr>
                <w:rFonts w:asciiTheme="minorHAnsi" w:hAnsiTheme="minorHAnsi"/>
                <w:sz w:val="21"/>
                <w:szCs w:val="21"/>
              </w:rPr>
            </w:pPr>
            <w:r w:rsidRPr="00B043A2">
              <w:rPr>
                <w:rFonts w:asciiTheme="minorHAnsi" w:hAnsiTheme="minorHAnsi"/>
                <w:sz w:val="21"/>
                <w:szCs w:val="21"/>
              </w:rPr>
              <w:t>When SMEs think about offshoring</w:t>
            </w:r>
          </w:p>
        </w:tc>
        <w:tc>
          <w:tcPr>
            <w:tcW w:w="4368" w:type="dxa"/>
            <w:tcBorders>
              <w:top w:val="nil"/>
              <w:left w:val="single" w:sz="4" w:space="0" w:color="auto"/>
              <w:bottom w:val="nil"/>
              <w:right w:val="nil"/>
            </w:tcBorders>
          </w:tcPr>
          <w:p w:rsidR="00712BCA" w:rsidRPr="006910BC" w:rsidRDefault="00B043A2">
            <w:pPr>
              <w:spacing w:before="60" w:after="60" w:line="240" w:lineRule="auto"/>
              <w:rPr>
                <w:sz w:val="21"/>
                <w:szCs w:val="21"/>
                <w:lang w:val="fr-FR"/>
              </w:rPr>
            </w:pPr>
            <w:r w:rsidRPr="00B043A2">
              <w:rPr>
                <w:rFonts w:asciiTheme="minorHAnsi" w:hAnsiTheme="minorHAnsi"/>
                <w:b/>
                <w:sz w:val="21"/>
                <w:szCs w:val="21"/>
                <w:lang w:val="fr-FR"/>
              </w:rPr>
              <w:t xml:space="preserve">Marie-Christinne Monnoyer, </w:t>
            </w:r>
            <w:r w:rsidRPr="006910BC">
              <w:rPr>
                <w:rFonts w:asciiTheme="minorHAnsi" w:hAnsiTheme="minorHAnsi"/>
                <w:sz w:val="21"/>
                <w:szCs w:val="21"/>
                <w:lang w:val="fr-FR"/>
              </w:rPr>
              <w:t>Universidad de Toulouse I, Francia y RESER</w:t>
            </w:r>
          </w:p>
        </w:tc>
      </w:tr>
      <w:tr w:rsidR="00671A99" w:rsidRPr="00C73F70" w:rsidTr="0085258C">
        <w:trPr>
          <w:trHeight w:val="710"/>
        </w:trPr>
        <w:tc>
          <w:tcPr>
            <w:tcW w:w="1418" w:type="dxa"/>
            <w:vMerge/>
            <w:tcBorders>
              <w:top w:val="nil"/>
              <w:bottom w:val="single" w:sz="4" w:space="0" w:color="auto"/>
              <w:right w:val="single" w:sz="4" w:space="0" w:color="auto"/>
            </w:tcBorders>
          </w:tcPr>
          <w:p w:rsidR="00712BCA" w:rsidRPr="006910BC" w:rsidRDefault="00712BCA">
            <w:pPr>
              <w:spacing w:before="60" w:after="60" w:line="240" w:lineRule="auto"/>
              <w:rPr>
                <w:sz w:val="21"/>
                <w:szCs w:val="21"/>
                <w:lang w:val="fr-FR"/>
              </w:rPr>
            </w:pPr>
          </w:p>
        </w:tc>
        <w:tc>
          <w:tcPr>
            <w:tcW w:w="3712" w:type="dxa"/>
            <w:tcBorders>
              <w:top w:val="nil"/>
              <w:left w:val="single" w:sz="4" w:space="0" w:color="auto"/>
              <w:bottom w:val="single" w:sz="4" w:space="0" w:color="auto"/>
              <w:right w:val="single" w:sz="4" w:space="0" w:color="auto"/>
            </w:tcBorders>
          </w:tcPr>
          <w:p w:rsidR="00712BCA" w:rsidRDefault="00B043A2">
            <w:pPr>
              <w:spacing w:before="60" w:after="60" w:line="240" w:lineRule="auto"/>
              <w:ind w:left="34"/>
              <w:outlineLvl w:val="0"/>
              <w:rPr>
                <w:rFonts w:asciiTheme="minorHAnsi" w:hAnsiTheme="minorHAnsi"/>
                <w:sz w:val="21"/>
                <w:szCs w:val="21"/>
                <w:lang w:val="es-ES_tradnl"/>
              </w:rPr>
            </w:pPr>
            <w:r w:rsidRPr="00B043A2">
              <w:rPr>
                <w:rFonts w:asciiTheme="minorHAnsi" w:hAnsiTheme="minorHAnsi"/>
                <w:sz w:val="21"/>
                <w:szCs w:val="21"/>
                <w:lang w:val="es-ES_tradnl"/>
              </w:rPr>
              <w:t>Redes de innovación en PyMES; la configuración del espacio de fijos, flujos y redes frente a las cadenas globales de valor</w:t>
            </w:r>
          </w:p>
        </w:tc>
        <w:tc>
          <w:tcPr>
            <w:tcW w:w="4368" w:type="dxa"/>
            <w:tcBorders>
              <w:top w:val="nil"/>
              <w:left w:val="single" w:sz="4" w:space="0" w:color="auto"/>
              <w:bottom w:val="single" w:sz="4" w:space="0" w:color="auto"/>
              <w:right w:val="nil"/>
            </w:tcBorders>
          </w:tcPr>
          <w:p w:rsidR="00712BCA" w:rsidRDefault="00B043A2">
            <w:pPr>
              <w:spacing w:before="60" w:after="60" w:line="240" w:lineRule="auto"/>
              <w:outlineLvl w:val="0"/>
              <w:rPr>
                <w:rFonts w:asciiTheme="minorHAnsi" w:hAnsiTheme="minorHAnsi"/>
                <w:b/>
                <w:sz w:val="21"/>
                <w:szCs w:val="21"/>
                <w:lang w:val="es-ES_tradnl"/>
              </w:rPr>
            </w:pPr>
            <w:r w:rsidRPr="00B043A2">
              <w:rPr>
                <w:rFonts w:asciiTheme="minorHAnsi" w:hAnsiTheme="minorHAnsi"/>
                <w:sz w:val="21"/>
                <w:szCs w:val="21"/>
                <w:lang w:val="es-ES_tradnl"/>
              </w:rPr>
              <w:t xml:space="preserve">Felipe Moreno, Manuel Lara &amp; </w:t>
            </w:r>
            <w:r w:rsidRPr="00B043A2">
              <w:rPr>
                <w:rFonts w:asciiTheme="minorHAnsi" w:hAnsiTheme="minorHAnsi"/>
                <w:b/>
                <w:sz w:val="21"/>
                <w:szCs w:val="21"/>
                <w:lang w:val="es-ES_tradnl"/>
              </w:rPr>
              <w:t>Celia Hernández</w:t>
            </w:r>
            <w:r w:rsidRPr="00B043A2">
              <w:rPr>
                <w:rFonts w:asciiTheme="minorHAnsi" w:hAnsiTheme="minorHAnsi"/>
                <w:sz w:val="21"/>
                <w:szCs w:val="21"/>
                <w:lang w:val="es-ES_tradnl"/>
              </w:rPr>
              <w:t>, Universidad Autónoma Metropolitana, México</w:t>
            </w:r>
          </w:p>
        </w:tc>
      </w:tr>
      <w:tr w:rsidR="00671A99" w:rsidRPr="00C73F70" w:rsidTr="0085258C">
        <w:trPr>
          <w:trHeight w:val="710"/>
        </w:trPr>
        <w:tc>
          <w:tcPr>
            <w:tcW w:w="1418" w:type="dxa"/>
            <w:vMerge/>
            <w:tcBorders>
              <w:top w:val="single" w:sz="4" w:space="0" w:color="auto"/>
            </w:tcBorders>
          </w:tcPr>
          <w:p w:rsidR="00712BCA" w:rsidRDefault="00712BCA">
            <w:pPr>
              <w:spacing w:before="60" w:after="60" w:line="240" w:lineRule="auto"/>
              <w:rPr>
                <w:sz w:val="21"/>
                <w:szCs w:val="21"/>
                <w:lang w:val="es-CR"/>
              </w:rPr>
            </w:pPr>
          </w:p>
        </w:tc>
        <w:tc>
          <w:tcPr>
            <w:tcW w:w="3712" w:type="dxa"/>
            <w:tcBorders>
              <w:top w:val="single" w:sz="4" w:space="0" w:color="auto"/>
              <w:bottom w:val="single" w:sz="4" w:space="0" w:color="auto"/>
              <w:right w:val="single" w:sz="4" w:space="0" w:color="auto"/>
            </w:tcBorders>
          </w:tcPr>
          <w:p w:rsidR="00712BCA" w:rsidRDefault="00B043A2">
            <w:pPr>
              <w:pStyle w:val="Prrafodelista"/>
              <w:spacing w:before="60" w:after="60" w:line="240" w:lineRule="auto"/>
              <w:ind w:left="34"/>
              <w:contextualSpacing w:val="0"/>
              <w:outlineLvl w:val="0"/>
              <w:rPr>
                <w:rFonts w:asciiTheme="minorHAnsi" w:hAnsiTheme="minorHAnsi"/>
                <w:sz w:val="21"/>
                <w:szCs w:val="21"/>
                <w:lang w:val="es-ES_tradnl"/>
              </w:rPr>
            </w:pPr>
            <w:r w:rsidRPr="00B043A2">
              <w:rPr>
                <w:rFonts w:asciiTheme="minorHAnsi" w:hAnsiTheme="minorHAnsi"/>
                <w:sz w:val="21"/>
                <w:szCs w:val="21"/>
                <w:lang w:val="es-ES_tradnl"/>
              </w:rPr>
              <w:t>Formalización de la asociación para la producción La formación de empresas integradoras para promover el desarrollo del software libre</w:t>
            </w:r>
          </w:p>
        </w:tc>
        <w:tc>
          <w:tcPr>
            <w:tcW w:w="4368" w:type="dxa"/>
            <w:tcBorders>
              <w:top w:val="single" w:sz="4" w:space="0" w:color="auto"/>
              <w:left w:val="single" w:sz="4" w:space="0" w:color="auto"/>
              <w:bottom w:val="single" w:sz="4" w:space="0" w:color="auto"/>
              <w:right w:val="nil"/>
            </w:tcBorders>
          </w:tcPr>
          <w:p w:rsidR="00712BCA" w:rsidRDefault="00B043A2">
            <w:pPr>
              <w:spacing w:before="60" w:after="60" w:line="240" w:lineRule="auto"/>
              <w:outlineLvl w:val="0"/>
              <w:rPr>
                <w:rFonts w:asciiTheme="minorHAnsi" w:hAnsiTheme="minorHAnsi"/>
                <w:b/>
                <w:sz w:val="21"/>
                <w:szCs w:val="21"/>
                <w:lang w:val="es-ES_tradnl"/>
              </w:rPr>
            </w:pPr>
            <w:r w:rsidRPr="00B043A2">
              <w:rPr>
                <w:rFonts w:asciiTheme="minorHAnsi" w:hAnsiTheme="minorHAnsi"/>
                <w:sz w:val="21"/>
                <w:szCs w:val="21"/>
                <w:lang w:val="es-ES_tradnl"/>
              </w:rPr>
              <w:t xml:space="preserve">Mónica Casalet &amp; </w:t>
            </w:r>
            <w:r w:rsidRPr="00B043A2">
              <w:rPr>
                <w:rFonts w:asciiTheme="minorHAnsi" w:hAnsiTheme="minorHAnsi"/>
                <w:b/>
                <w:sz w:val="21"/>
                <w:szCs w:val="21"/>
                <w:lang w:val="es-ES_tradnl"/>
              </w:rPr>
              <w:t>Edgar Buenrostro,</w:t>
            </w:r>
            <w:r w:rsidRPr="00B043A2">
              <w:rPr>
                <w:rFonts w:asciiTheme="minorHAnsi" w:hAnsiTheme="minorHAnsi"/>
                <w:sz w:val="21"/>
                <w:szCs w:val="21"/>
                <w:lang w:val="es-ES_tradnl"/>
              </w:rPr>
              <w:t xml:space="preserve"> FLACSO, México</w:t>
            </w:r>
          </w:p>
        </w:tc>
      </w:tr>
      <w:tr w:rsidR="009A0ABF" w:rsidRPr="00C73F70" w:rsidTr="001C23F2">
        <w:trPr>
          <w:trHeight w:val="710"/>
        </w:trPr>
        <w:tc>
          <w:tcPr>
            <w:tcW w:w="1418" w:type="dxa"/>
          </w:tcPr>
          <w:p w:rsidR="00712BCA" w:rsidRDefault="00B043A2">
            <w:pPr>
              <w:spacing w:before="60" w:after="60" w:line="240" w:lineRule="auto"/>
              <w:rPr>
                <w:sz w:val="21"/>
                <w:szCs w:val="21"/>
                <w:lang w:val="es-CR"/>
              </w:rPr>
            </w:pPr>
            <w:r w:rsidRPr="00B043A2">
              <w:rPr>
                <w:sz w:val="21"/>
                <w:szCs w:val="21"/>
                <w:lang w:val="es-CR"/>
              </w:rPr>
              <w:t>20:00</w:t>
            </w:r>
          </w:p>
        </w:tc>
        <w:tc>
          <w:tcPr>
            <w:tcW w:w="8080" w:type="dxa"/>
            <w:gridSpan w:val="2"/>
            <w:tcBorders>
              <w:top w:val="single" w:sz="4" w:space="0" w:color="auto"/>
              <w:right w:val="nil"/>
            </w:tcBorders>
          </w:tcPr>
          <w:p w:rsidR="00712BCA" w:rsidRDefault="00B043A2">
            <w:pPr>
              <w:spacing w:before="60" w:after="60" w:line="240" w:lineRule="auto"/>
              <w:jc w:val="both"/>
              <w:outlineLvl w:val="0"/>
              <w:rPr>
                <w:rFonts w:asciiTheme="minorHAnsi" w:hAnsiTheme="minorHAnsi"/>
                <w:b/>
                <w:sz w:val="21"/>
                <w:szCs w:val="21"/>
                <w:lang w:val="es-ES_tradnl"/>
              </w:rPr>
            </w:pPr>
            <w:r w:rsidRPr="00B043A2">
              <w:rPr>
                <w:rFonts w:asciiTheme="minorHAnsi" w:hAnsiTheme="minorHAnsi"/>
                <w:b/>
                <w:i/>
                <w:color w:val="17365D" w:themeColor="text2" w:themeShade="BF"/>
                <w:sz w:val="21"/>
                <w:szCs w:val="21"/>
                <w:lang w:val="es-ES_tradnl"/>
              </w:rPr>
              <w:t>Cena Networkin</w:t>
            </w:r>
            <w:r w:rsidR="00C73F70">
              <w:rPr>
                <w:rFonts w:asciiTheme="minorHAnsi" w:hAnsiTheme="minorHAnsi"/>
                <w:b/>
                <w:i/>
                <w:color w:val="17365D" w:themeColor="text2" w:themeShade="BF"/>
                <w:sz w:val="21"/>
                <w:szCs w:val="21"/>
                <w:lang w:val="es-ES_tradnl"/>
              </w:rPr>
              <w:t>g (Lista cerrada)</w:t>
            </w:r>
          </w:p>
          <w:p w:rsidR="00712BCA" w:rsidRDefault="00B043A2">
            <w:pPr>
              <w:spacing w:before="60" w:after="60" w:line="240" w:lineRule="auto"/>
              <w:jc w:val="both"/>
              <w:outlineLvl w:val="0"/>
              <w:rPr>
                <w:rFonts w:asciiTheme="minorHAnsi" w:hAnsiTheme="minorHAnsi"/>
                <w:sz w:val="21"/>
                <w:szCs w:val="21"/>
                <w:lang w:val="es-ES_tradnl"/>
              </w:rPr>
            </w:pPr>
            <w:r w:rsidRPr="00B043A2">
              <w:rPr>
                <w:rFonts w:asciiTheme="minorHAnsi" w:hAnsiTheme="minorHAnsi"/>
                <w:sz w:val="21"/>
                <w:szCs w:val="21"/>
                <w:lang w:val="es-ES_tradnl"/>
              </w:rPr>
              <w:t xml:space="preserve">En Instituto de Estudios Internacionales – Universidad de Chile, Av. Condell 249, Providencia </w:t>
            </w:r>
          </w:p>
          <w:p w:rsidR="00712BCA" w:rsidRDefault="00B043A2" w:rsidP="00C73F70">
            <w:pPr>
              <w:spacing w:before="60" w:after="60" w:line="240" w:lineRule="auto"/>
              <w:jc w:val="both"/>
              <w:outlineLvl w:val="0"/>
              <w:rPr>
                <w:rFonts w:asciiTheme="minorHAnsi" w:hAnsiTheme="minorHAnsi"/>
                <w:b/>
                <w:sz w:val="21"/>
                <w:szCs w:val="21"/>
                <w:lang w:val="es-ES_tradnl"/>
              </w:rPr>
            </w:pPr>
            <w:r w:rsidRPr="00B043A2">
              <w:rPr>
                <w:rFonts w:asciiTheme="minorHAnsi" w:hAnsiTheme="minorHAnsi"/>
                <w:sz w:val="21"/>
                <w:szCs w:val="21"/>
                <w:lang w:val="es-ES_tradnl"/>
              </w:rPr>
              <w:t>(Bus saldrá a las 19:</w:t>
            </w:r>
            <w:r w:rsidR="00C73F70">
              <w:rPr>
                <w:rFonts w:asciiTheme="minorHAnsi" w:hAnsiTheme="minorHAnsi"/>
                <w:sz w:val="21"/>
                <w:szCs w:val="21"/>
                <w:lang w:val="es-ES_tradnl"/>
              </w:rPr>
              <w:t>15</w:t>
            </w:r>
            <w:r w:rsidRPr="00B043A2">
              <w:rPr>
                <w:rFonts w:asciiTheme="minorHAnsi" w:hAnsiTheme="minorHAnsi"/>
                <w:sz w:val="21"/>
                <w:szCs w:val="21"/>
                <w:lang w:val="es-ES_tradnl"/>
              </w:rPr>
              <w:t xml:space="preserve"> desde </w:t>
            </w:r>
            <w:r w:rsidR="000216D1">
              <w:rPr>
                <w:rFonts w:asciiTheme="minorHAnsi" w:hAnsiTheme="minorHAnsi"/>
                <w:sz w:val="21"/>
                <w:szCs w:val="21"/>
                <w:lang w:val="es-ES_tradnl"/>
              </w:rPr>
              <w:t>la CEPAL</w:t>
            </w:r>
            <w:r w:rsidR="00C73F70">
              <w:rPr>
                <w:rFonts w:asciiTheme="minorHAnsi" w:hAnsiTheme="minorHAnsi"/>
                <w:sz w:val="21"/>
                <w:szCs w:val="21"/>
                <w:lang w:val="es-ES_tradnl"/>
              </w:rPr>
              <w:t xml:space="preserve"> y a las 19:30 desde el Hotel Atton Vitacura</w:t>
            </w:r>
            <w:r w:rsidR="000216D1">
              <w:rPr>
                <w:rFonts w:asciiTheme="minorHAnsi" w:hAnsiTheme="minorHAnsi"/>
                <w:sz w:val="21"/>
                <w:szCs w:val="21"/>
                <w:lang w:val="es-ES_tradnl"/>
              </w:rPr>
              <w:t>)</w:t>
            </w:r>
          </w:p>
        </w:tc>
      </w:tr>
    </w:tbl>
    <w:p w:rsidR="00712BCA" w:rsidRPr="000216D1" w:rsidRDefault="00712BCA">
      <w:pPr>
        <w:spacing w:after="0" w:line="240" w:lineRule="auto"/>
        <w:rPr>
          <w:lang w:val="es-CL"/>
        </w:rPr>
      </w:pPr>
    </w:p>
    <w:tbl>
      <w:tblPr>
        <w:tblW w:w="13514" w:type="dxa"/>
        <w:tblInd w:w="108" w:type="dxa"/>
        <w:tblBorders>
          <w:top w:val="single" w:sz="4" w:space="0" w:color="auto"/>
          <w:bottom w:val="single" w:sz="4" w:space="0" w:color="auto"/>
          <w:insideH w:val="single" w:sz="4" w:space="0" w:color="auto"/>
          <w:insideV w:val="single" w:sz="4" w:space="0" w:color="auto"/>
        </w:tblBorders>
        <w:tblLook w:val="04A0"/>
      </w:tblPr>
      <w:tblGrid>
        <w:gridCol w:w="1418"/>
        <w:gridCol w:w="3712"/>
        <w:gridCol w:w="257"/>
        <w:gridCol w:w="4111"/>
        <w:gridCol w:w="4016"/>
      </w:tblGrid>
      <w:tr w:rsidR="00CB074D" w:rsidRPr="001F03F7" w:rsidTr="00D51A4A">
        <w:trPr>
          <w:gridAfter w:val="1"/>
          <w:wAfter w:w="4016" w:type="dxa"/>
          <w:trHeight w:val="244"/>
        </w:trPr>
        <w:tc>
          <w:tcPr>
            <w:tcW w:w="9498" w:type="dxa"/>
            <w:gridSpan w:val="4"/>
            <w:shd w:val="clear" w:color="auto" w:fill="8DB3E2"/>
          </w:tcPr>
          <w:p w:rsidR="00712BCA" w:rsidRDefault="00B043A2">
            <w:pPr>
              <w:spacing w:before="60" w:after="60" w:line="240" w:lineRule="auto"/>
              <w:jc w:val="center"/>
              <w:rPr>
                <w:b/>
                <w:sz w:val="21"/>
                <w:szCs w:val="21"/>
                <w:lang w:val="es-CR"/>
              </w:rPr>
            </w:pPr>
            <w:r w:rsidRPr="00B043A2">
              <w:rPr>
                <w:b/>
                <w:sz w:val="21"/>
                <w:szCs w:val="21"/>
                <w:lang w:val="es-CR"/>
              </w:rPr>
              <w:t>Viernes 19 de octubre, 2012</w:t>
            </w:r>
          </w:p>
        </w:tc>
      </w:tr>
      <w:tr w:rsidR="000407FB" w:rsidRPr="001F03F7" w:rsidTr="00D51A4A">
        <w:trPr>
          <w:gridAfter w:val="1"/>
          <w:wAfter w:w="4016" w:type="dxa"/>
          <w:trHeight w:val="244"/>
        </w:trPr>
        <w:tc>
          <w:tcPr>
            <w:tcW w:w="1418" w:type="dxa"/>
          </w:tcPr>
          <w:p w:rsidR="00712BCA" w:rsidRDefault="00B043A2">
            <w:pPr>
              <w:spacing w:before="60" w:after="60" w:line="240" w:lineRule="auto"/>
              <w:rPr>
                <w:b/>
                <w:sz w:val="21"/>
                <w:szCs w:val="21"/>
                <w:lang w:val="es-CR"/>
              </w:rPr>
            </w:pPr>
            <w:r w:rsidRPr="00B043A2">
              <w:rPr>
                <w:b/>
                <w:sz w:val="21"/>
                <w:szCs w:val="21"/>
                <w:lang w:val="es-CR"/>
              </w:rPr>
              <w:t>Horario</w:t>
            </w:r>
          </w:p>
        </w:tc>
        <w:tc>
          <w:tcPr>
            <w:tcW w:w="8080" w:type="dxa"/>
            <w:gridSpan w:val="3"/>
            <w:tcBorders>
              <w:bottom w:val="single" w:sz="4" w:space="0" w:color="auto"/>
            </w:tcBorders>
          </w:tcPr>
          <w:p w:rsidR="00712BCA" w:rsidRDefault="00B043A2">
            <w:pPr>
              <w:spacing w:before="60" w:after="60" w:line="240" w:lineRule="auto"/>
              <w:rPr>
                <w:b/>
                <w:sz w:val="21"/>
                <w:szCs w:val="21"/>
                <w:lang w:val="es-CR"/>
              </w:rPr>
            </w:pPr>
            <w:r w:rsidRPr="00B043A2">
              <w:rPr>
                <w:b/>
                <w:sz w:val="21"/>
                <w:szCs w:val="21"/>
                <w:lang w:val="es-CR"/>
              </w:rPr>
              <w:t>Actividad</w:t>
            </w:r>
          </w:p>
        </w:tc>
      </w:tr>
      <w:tr w:rsidR="008D640F" w:rsidRPr="00C73F70" w:rsidTr="00D51A4A">
        <w:trPr>
          <w:gridAfter w:val="1"/>
          <w:wAfter w:w="4016" w:type="dxa"/>
          <w:trHeight w:val="244"/>
        </w:trPr>
        <w:tc>
          <w:tcPr>
            <w:tcW w:w="1418" w:type="dxa"/>
          </w:tcPr>
          <w:p w:rsidR="00712BCA" w:rsidRDefault="00B043A2">
            <w:pPr>
              <w:spacing w:before="60" w:after="60" w:line="240" w:lineRule="auto"/>
              <w:rPr>
                <w:sz w:val="21"/>
                <w:szCs w:val="21"/>
                <w:lang w:val="es-CR"/>
              </w:rPr>
            </w:pPr>
            <w:r w:rsidRPr="00B043A2">
              <w:rPr>
                <w:sz w:val="21"/>
                <w:szCs w:val="21"/>
                <w:lang w:val="es-CR"/>
              </w:rPr>
              <w:t>09:00 – 09:45</w:t>
            </w:r>
          </w:p>
        </w:tc>
        <w:tc>
          <w:tcPr>
            <w:tcW w:w="8080" w:type="dxa"/>
            <w:gridSpan w:val="3"/>
            <w:tcBorders>
              <w:bottom w:val="single" w:sz="4" w:space="0" w:color="auto"/>
            </w:tcBorders>
          </w:tcPr>
          <w:p w:rsidR="00712BCA" w:rsidRPr="00BD3493" w:rsidRDefault="00B043A2">
            <w:pPr>
              <w:spacing w:before="60" w:after="60" w:line="240" w:lineRule="auto"/>
              <w:rPr>
                <w:rFonts w:asciiTheme="minorHAnsi" w:hAnsiTheme="minorHAnsi"/>
                <w:sz w:val="21"/>
                <w:szCs w:val="21"/>
              </w:rPr>
            </w:pPr>
            <w:r w:rsidRPr="00B043A2">
              <w:rPr>
                <w:rFonts w:asciiTheme="minorHAnsi" w:hAnsiTheme="minorHAnsi"/>
                <w:b/>
                <w:i/>
                <w:color w:val="17365D" w:themeColor="text2" w:themeShade="BF"/>
                <w:sz w:val="21"/>
                <w:szCs w:val="21"/>
              </w:rPr>
              <w:t xml:space="preserve">Keynote speaker: </w:t>
            </w:r>
            <w:r w:rsidRPr="00BD3493">
              <w:rPr>
                <w:rFonts w:asciiTheme="minorHAnsi" w:hAnsiTheme="minorHAnsi"/>
                <w:sz w:val="21"/>
                <w:szCs w:val="21"/>
              </w:rPr>
              <w:t xml:space="preserve">Regional Specialisation in Business Services: Evidence on Agglomeration Economies, Hirschmann linkages and </w:t>
            </w:r>
            <w:r w:rsidR="00BD3493">
              <w:rPr>
                <w:rFonts w:asciiTheme="minorHAnsi" w:hAnsiTheme="minorHAnsi"/>
                <w:sz w:val="21"/>
                <w:szCs w:val="21"/>
              </w:rPr>
              <w:t>Knowledge in the European Union</w:t>
            </w:r>
          </w:p>
          <w:p w:rsidR="00712BCA" w:rsidRDefault="00B043A2">
            <w:pPr>
              <w:spacing w:before="60" w:after="60" w:line="240" w:lineRule="auto"/>
              <w:rPr>
                <w:sz w:val="21"/>
                <w:szCs w:val="21"/>
                <w:lang w:val="es-ES_tradnl"/>
              </w:rPr>
            </w:pPr>
            <w:r w:rsidRPr="00B043A2">
              <w:rPr>
                <w:rFonts w:asciiTheme="minorHAnsi" w:hAnsiTheme="minorHAnsi"/>
                <w:b/>
                <w:sz w:val="21"/>
                <w:szCs w:val="21"/>
                <w:lang w:val="es-CL"/>
              </w:rPr>
              <w:t>Maria Savona</w:t>
            </w:r>
            <w:r w:rsidRPr="00B043A2">
              <w:rPr>
                <w:rFonts w:asciiTheme="minorHAnsi" w:hAnsiTheme="minorHAnsi"/>
                <w:sz w:val="21"/>
                <w:szCs w:val="21"/>
                <w:lang w:val="es-CL"/>
              </w:rPr>
              <w:t>, SPRU, Universidad de Sussex, Reino Unido</w:t>
            </w:r>
          </w:p>
        </w:tc>
      </w:tr>
      <w:tr w:rsidR="002E418A" w:rsidRPr="001F03F7" w:rsidTr="00D51A4A">
        <w:trPr>
          <w:gridAfter w:val="1"/>
          <w:wAfter w:w="4016" w:type="dxa"/>
          <w:trHeight w:val="244"/>
        </w:trPr>
        <w:tc>
          <w:tcPr>
            <w:tcW w:w="1418" w:type="dxa"/>
          </w:tcPr>
          <w:p w:rsidR="00712BCA" w:rsidRDefault="00B043A2">
            <w:pPr>
              <w:spacing w:before="60" w:after="60" w:line="240" w:lineRule="auto"/>
              <w:rPr>
                <w:sz w:val="21"/>
                <w:szCs w:val="21"/>
                <w:lang w:val="es-CR"/>
              </w:rPr>
            </w:pPr>
            <w:r w:rsidRPr="00B043A2">
              <w:rPr>
                <w:sz w:val="21"/>
                <w:szCs w:val="21"/>
                <w:lang w:val="es-CR"/>
              </w:rPr>
              <w:t>09:45 – 11:00</w:t>
            </w:r>
          </w:p>
        </w:tc>
        <w:tc>
          <w:tcPr>
            <w:tcW w:w="8080" w:type="dxa"/>
            <w:gridSpan w:val="3"/>
            <w:tcBorders>
              <w:bottom w:val="single" w:sz="4" w:space="0" w:color="auto"/>
            </w:tcBorders>
          </w:tcPr>
          <w:p w:rsidR="00712BCA" w:rsidRDefault="00B043A2">
            <w:pPr>
              <w:spacing w:before="60" w:after="60" w:line="240" w:lineRule="auto"/>
              <w:rPr>
                <w:rFonts w:asciiTheme="minorHAnsi" w:hAnsiTheme="minorHAnsi"/>
                <w:b/>
                <w:i/>
                <w:color w:val="17365D" w:themeColor="text2" w:themeShade="BF"/>
                <w:sz w:val="21"/>
                <w:szCs w:val="21"/>
              </w:rPr>
            </w:pPr>
            <w:r w:rsidRPr="00B043A2">
              <w:rPr>
                <w:rFonts w:asciiTheme="minorHAnsi" w:hAnsiTheme="minorHAnsi"/>
                <w:b/>
                <w:i/>
                <w:color w:val="17365D" w:themeColor="text2" w:themeShade="BF"/>
                <w:sz w:val="21"/>
                <w:szCs w:val="21"/>
                <w:lang w:val="es-ES_tradnl"/>
              </w:rPr>
              <w:t>Sesiones Paralelas III &amp; IV</w:t>
            </w:r>
          </w:p>
        </w:tc>
      </w:tr>
      <w:tr w:rsidR="00007122" w:rsidRPr="00C73F70" w:rsidTr="00D51A4A">
        <w:trPr>
          <w:gridAfter w:val="1"/>
          <w:wAfter w:w="4016" w:type="dxa"/>
          <w:trHeight w:val="244"/>
        </w:trPr>
        <w:tc>
          <w:tcPr>
            <w:tcW w:w="1418" w:type="dxa"/>
            <w:vMerge w:val="restart"/>
          </w:tcPr>
          <w:p w:rsidR="00712BCA" w:rsidRDefault="00712BCA">
            <w:pPr>
              <w:spacing w:before="60" w:after="60" w:line="240" w:lineRule="auto"/>
              <w:rPr>
                <w:sz w:val="21"/>
                <w:szCs w:val="21"/>
                <w:lang w:val="es-CR"/>
              </w:rPr>
            </w:pPr>
          </w:p>
        </w:tc>
        <w:tc>
          <w:tcPr>
            <w:tcW w:w="8080" w:type="dxa"/>
            <w:gridSpan w:val="3"/>
            <w:tcBorders>
              <w:bottom w:val="single" w:sz="4" w:space="0" w:color="auto"/>
            </w:tcBorders>
          </w:tcPr>
          <w:p w:rsidR="00712BCA" w:rsidRDefault="00B043A2">
            <w:pPr>
              <w:spacing w:before="60" w:after="60" w:line="240" w:lineRule="auto"/>
              <w:rPr>
                <w:rFonts w:asciiTheme="minorHAnsi" w:hAnsiTheme="minorHAnsi"/>
                <w:b/>
                <w:i/>
                <w:color w:val="17365D" w:themeColor="text2" w:themeShade="BF"/>
                <w:sz w:val="21"/>
                <w:szCs w:val="21"/>
                <w:lang w:val="es-ES_tradnl"/>
              </w:rPr>
            </w:pPr>
            <w:r w:rsidRPr="00B043A2">
              <w:rPr>
                <w:rFonts w:asciiTheme="minorHAnsi" w:hAnsiTheme="minorHAnsi"/>
                <w:b/>
                <w:i/>
                <w:color w:val="17365D" w:themeColor="text2" w:themeShade="BF"/>
                <w:sz w:val="21"/>
                <w:szCs w:val="21"/>
                <w:lang w:val="es-ES_tradnl"/>
              </w:rPr>
              <w:t xml:space="preserve">Sesión III: Experiencias nacionales en América Latina y el Caribe </w:t>
            </w:r>
          </w:p>
          <w:p w:rsidR="00712BCA" w:rsidRDefault="00B043A2">
            <w:pPr>
              <w:spacing w:before="60" w:after="60" w:line="240" w:lineRule="auto"/>
              <w:rPr>
                <w:b/>
                <w:sz w:val="21"/>
                <w:szCs w:val="21"/>
                <w:lang w:val="es-ES_tradnl"/>
              </w:rPr>
            </w:pPr>
            <w:r w:rsidRPr="00B043A2">
              <w:rPr>
                <w:rFonts w:asciiTheme="minorHAnsi" w:hAnsiTheme="minorHAnsi"/>
                <w:spacing w:val="-2"/>
                <w:sz w:val="21"/>
                <w:szCs w:val="21"/>
                <w:lang w:val="es-ES_tradnl"/>
              </w:rPr>
              <w:t xml:space="preserve">(Sala Celso Furtado) </w:t>
            </w:r>
            <w:r w:rsidRPr="00BD3493">
              <w:rPr>
                <w:rFonts w:asciiTheme="minorHAnsi" w:hAnsiTheme="minorHAnsi"/>
                <w:b/>
                <w:spacing w:val="-2"/>
                <w:sz w:val="21"/>
                <w:szCs w:val="21"/>
                <w:lang w:val="es-ES_tradnl"/>
              </w:rPr>
              <w:t>- Moderador:</w:t>
            </w:r>
            <w:r w:rsidRPr="00B043A2">
              <w:rPr>
                <w:rFonts w:asciiTheme="minorHAnsi" w:hAnsiTheme="minorHAnsi"/>
                <w:spacing w:val="-2"/>
                <w:sz w:val="21"/>
                <w:szCs w:val="21"/>
                <w:lang w:val="es-ES_tradnl"/>
              </w:rPr>
              <w:t xml:space="preserve"> </w:t>
            </w:r>
            <w:r w:rsidRPr="00B043A2">
              <w:rPr>
                <w:rFonts w:asciiTheme="minorHAnsi" w:hAnsiTheme="minorHAnsi"/>
                <w:b/>
                <w:spacing w:val="-2"/>
                <w:sz w:val="21"/>
                <w:szCs w:val="21"/>
                <w:lang w:val="es-ES_tradnl"/>
              </w:rPr>
              <w:t>Dorotea López</w:t>
            </w:r>
            <w:r w:rsidRPr="00B043A2">
              <w:rPr>
                <w:rFonts w:asciiTheme="minorHAnsi" w:hAnsiTheme="minorHAnsi"/>
                <w:spacing w:val="-2"/>
                <w:sz w:val="21"/>
                <w:szCs w:val="21"/>
                <w:lang w:val="es-ES_tradnl"/>
              </w:rPr>
              <w:t>, Cátedra OMC - Universidad de Chile, Chile</w:t>
            </w:r>
          </w:p>
        </w:tc>
      </w:tr>
      <w:tr w:rsidR="00007122" w:rsidRPr="00C73F70" w:rsidTr="00D51A4A">
        <w:trPr>
          <w:trHeight w:val="287"/>
        </w:trPr>
        <w:tc>
          <w:tcPr>
            <w:tcW w:w="1418" w:type="dxa"/>
            <w:vMerge/>
          </w:tcPr>
          <w:p w:rsidR="00712BCA" w:rsidRDefault="00712BCA">
            <w:pPr>
              <w:spacing w:before="60" w:after="60" w:line="240" w:lineRule="auto"/>
              <w:rPr>
                <w:sz w:val="21"/>
                <w:szCs w:val="21"/>
                <w:lang w:val="es-CR"/>
              </w:rPr>
            </w:pPr>
          </w:p>
        </w:tc>
        <w:tc>
          <w:tcPr>
            <w:tcW w:w="3712" w:type="dxa"/>
            <w:tcBorders>
              <w:top w:val="single" w:sz="4" w:space="0" w:color="auto"/>
              <w:left w:val="single" w:sz="4" w:space="0" w:color="auto"/>
              <w:bottom w:val="nil"/>
              <w:right w:val="single" w:sz="4" w:space="0" w:color="auto"/>
            </w:tcBorders>
          </w:tcPr>
          <w:p w:rsidR="00712BCA" w:rsidRDefault="00B043A2">
            <w:pPr>
              <w:spacing w:before="60" w:after="60" w:line="240" w:lineRule="auto"/>
              <w:ind w:left="34"/>
              <w:outlineLvl w:val="0"/>
              <w:rPr>
                <w:rFonts w:asciiTheme="minorHAnsi" w:hAnsiTheme="minorHAnsi"/>
                <w:sz w:val="21"/>
                <w:szCs w:val="21"/>
                <w:lang w:val="es-ES_tradnl"/>
              </w:rPr>
            </w:pPr>
            <w:r w:rsidRPr="00B043A2">
              <w:rPr>
                <w:rFonts w:asciiTheme="minorHAnsi" w:hAnsiTheme="minorHAnsi"/>
                <w:sz w:val="21"/>
                <w:szCs w:val="21"/>
                <w:lang w:val="es-ES_tradnl"/>
              </w:rPr>
              <w:t>Servicios globales en Chile: el nacimiento de una industria</w:t>
            </w:r>
          </w:p>
        </w:tc>
        <w:tc>
          <w:tcPr>
            <w:tcW w:w="4368" w:type="dxa"/>
            <w:gridSpan w:val="2"/>
            <w:tcBorders>
              <w:top w:val="nil"/>
              <w:left w:val="single" w:sz="4" w:space="0" w:color="auto"/>
              <w:bottom w:val="nil"/>
              <w:right w:val="nil"/>
            </w:tcBorders>
          </w:tcPr>
          <w:p w:rsidR="00712BCA" w:rsidRDefault="00B043A2">
            <w:pPr>
              <w:spacing w:before="60" w:after="60" w:line="240" w:lineRule="auto"/>
              <w:outlineLvl w:val="0"/>
              <w:rPr>
                <w:color w:val="00B050"/>
                <w:sz w:val="21"/>
                <w:szCs w:val="21"/>
                <w:lang w:val="es-CR"/>
              </w:rPr>
            </w:pPr>
            <w:r w:rsidRPr="00B043A2">
              <w:rPr>
                <w:rFonts w:asciiTheme="minorHAnsi" w:hAnsiTheme="minorHAnsi"/>
                <w:sz w:val="21"/>
                <w:szCs w:val="21"/>
                <w:lang w:val="es-ES_tradnl"/>
              </w:rPr>
              <w:t xml:space="preserve">Gordana Stojkovic, Laura Palacios &amp; </w:t>
            </w:r>
            <w:r w:rsidRPr="00B043A2">
              <w:rPr>
                <w:rFonts w:asciiTheme="minorHAnsi" w:hAnsiTheme="minorHAnsi"/>
                <w:b/>
                <w:sz w:val="21"/>
                <w:szCs w:val="21"/>
                <w:lang w:val="es-ES_tradnl"/>
              </w:rPr>
              <w:t>Mario Castillo,</w:t>
            </w:r>
            <w:r w:rsidRPr="00B043A2">
              <w:rPr>
                <w:rFonts w:asciiTheme="minorHAnsi" w:hAnsiTheme="minorHAnsi"/>
                <w:sz w:val="21"/>
                <w:szCs w:val="21"/>
                <w:lang w:val="es-ES_tradnl"/>
              </w:rPr>
              <w:t xml:space="preserve"> CEPAL, Chile</w:t>
            </w:r>
          </w:p>
        </w:tc>
        <w:tc>
          <w:tcPr>
            <w:tcW w:w="4016" w:type="dxa"/>
            <w:tcBorders>
              <w:top w:val="nil"/>
              <w:left w:val="nil"/>
              <w:bottom w:val="nil"/>
              <w:right w:val="nil"/>
            </w:tcBorders>
          </w:tcPr>
          <w:p w:rsidR="00712BCA" w:rsidRDefault="00712BCA">
            <w:pPr>
              <w:spacing w:before="60" w:after="60" w:line="240" w:lineRule="auto"/>
              <w:rPr>
                <w:color w:val="00B050"/>
                <w:sz w:val="21"/>
                <w:szCs w:val="21"/>
                <w:lang w:val="es-ES"/>
              </w:rPr>
            </w:pPr>
          </w:p>
        </w:tc>
      </w:tr>
      <w:tr w:rsidR="00007122" w:rsidRPr="00C73F70" w:rsidTr="00D51A4A">
        <w:trPr>
          <w:gridAfter w:val="1"/>
          <w:wAfter w:w="4016" w:type="dxa"/>
          <w:trHeight w:val="287"/>
        </w:trPr>
        <w:tc>
          <w:tcPr>
            <w:tcW w:w="1418" w:type="dxa"/>
            <w:vMerge/>
          </w:tcPr>
          <w:p w:rsidR="00712BCA" w:rsidRDefault="00712BCA">
            <w:pPr>
              <w:spacing w:before="60" w:after="60" w:line="240" w:lineRule="auto"/>
              <w:rPr>
                <w:sz w:val="21"/>
                <w:szCs w:val="21"/>
                <w:lang w:val="es-CR"/>
              </w:rPr>
            </w:pPr>
          </w:p>
        </w:tc>
        <w:tc>
          <w:tcPr>
            <w:tcW w:w="3712" w:type="dxa"/>
            <w:tcBorders>
              <w:top w:val="nil"/>
              <w:bottom w:val="nil"/>
              <w:right w:val="single" w:sz="4" w:space="0" w:color="auto"/>
            </w:tcBorders>
          </w:tcPr>
          <w:p w:rsidR="00712BCA" w:rsidRDefault="00B043A2">
            <w:pPr>
              <w:spacing w:before="60" w:after="60" w:line="240" w:lineRule="auto"/>
              <w:ind w:left="34"/>
              <w:outlineLvl w:val="0"/>
              <w:rPr>
                <w:rFonts w:asciiTheme="minorHAnsi" w:hAnsiTheme="minorHAnsi"/>
                <w:sz w:val="21"/>
                <w:szCs w:val="21"/>
              </w:rPr>
            </w:pPr>
            <w:r w:rsidRPr="00B043A2">
              <w:rPr>
                <w:rFonts w:asciiTheme="minorHAnsi" w:hAnsiTheme="minorHAnsi"/>
                <w:sz w:val="21"/>
                <w:szCs w:val="21"/>
              </w:rPr>
              <w:t>The Colombian outsourcing industry: The effects of institutions and agglomeration economies</w:t>
            </w:r>
          </w:p>
        </w:tc>
        <w:tc>
          <w:tcPr>
            <w:tcW w:w="4368" w:type="dxa"/>
            <w:gridSpan w:val="2"/>
            <w:tcBorders>
              <w:top w:val="nil"/>
              <w:left w:val="single" w:sz="4" w:space="0" w:color="auto"/>
              <w:bottom w:val="nil"/>
              <w:right w:val="nil"/>
            </w:tcBorders>
          </w:tcPr>
          <w:p w:rsidR="00712BCA" w:rsidRDefault="00B043A2" w:rsidP="000545B7">
            <w:pPr>
              <w:spacing w:before="60" w:after="60" w:line="240" w:lineRule="auto"/>
              <w:outlineLvl w:val="0"/>
              <w:rPr>
                <w:color w:val="00B050"/>
                <w:sz w:val="21"/>
                <w:szCs w:val="21"/>
                <w:lang w:val="es-ES_tradnl"/>
              </w:rPr>
            </w:pPr>
            <w:r w:rsidRPr="000545B7">
              <w:rPr>
                <w:rFonts w:asciiTheme="minorHAnsi" w:hAnsiTheme="minorHAnsi"/>
                <w:b/>
                <w:sz w:val="21"/>
                <w:szCs w:val="21"/>
                <w:lang w:val="es-ES_tradnl"/>
              </w:rPr>
              <w:t>Nir Kshetri</w:t>
            </w:r>
            <w:r w:rsidRPr="000545B7">
              <w:rPr>
                <w:rFonts w:asciiTheme="minorHAnsi" w:hAnsiTheme="minorHAnsi"/>
                <w:sz w:val="21"/>
                <w:szCs w:val="21"/>
                <w:lang w:val="es-ES_tradnl"/>
              </w:rPr>
              <w:t xml:space="preserve">, The University of North Carolina - Greensboro </w:t>
            </w:r>
            <w:r w:rsidR="000545B7" w:rsidRPr="000545B7">
              <w:rPr>
                <w:rFonts w:asciiTheme="minorHAnsi" w:hAnsiTheme="minorHAnsi"/>
                <w:sz w:val="21"/>
                <w:szCs w:val="21"/>
                <w:lang w:val="es-ES_tradnl"/>
              </w:rPr>
              <w:br/>
            </w:r>
            <w:r w:rsidRPr="00B043A2">
              <w:rPr>
                <w:rFonts w:asciiTheme="minorHAnsi" w:hAnsiTheme="minorHAnsi"/>
                <w:sz w:val="21"/>
                <w:szCs w:val="21"/>
                <w:lang w:val="es-ES_tradnl"/>
              </w:rPr>
              <w:t>Marleny Cardona, Hugo Díaz &amp;</w:t>
            </w:r>
            <w:r w:rsidRPr="00B043A2">
              <w:rPr>
                <w:rFonts w:asciiTheme="minorHAnsi" w:hAnsiTheme="minorHAnsi"/>
                <w:b/>
                <w:sz w:val="21"/>
                <w:szCs w:val="21"/>
                <w:lang w:val="es-ES_tradnl"/>
              </w:rPr>
              <w:t xml:space="preserve"> Suelen Castiblanco,</w:t>
            </w:r>
            <w:r w:rsidRPr="00B043A2">
              <w:rPr>
                <w:rFonts w:asciiTheme="minorHAnsi" w:hAnsiTheme="minorHAnsi"/>
                <w:sz w:val="21"/>
                <w:szCs w:val="21"/>
                <w:lang w:val="es-ES_tradnl"/>
              </w:rPr>
              <w:t xml:space="preserve"> Centro de Investigaciones Escuela de Negocios, Colombia</w:t>
            </w:r>
          </w:p>
        </w:tc>
      </w:tr>
      <w:tr w:rsidR="00007122" w:rsidRPr="00C73F70" w:rsidTr="00D51A4A">
        <w:trPr>
          <w:gridAfter w:val="1"/>
          <w:wAfter w:w="4016" w:type="dxa"/>
          <w:trHeight w:val="431"/>
        </w:trPr>
        <w:tc>
          <w:tcPr>
            <w:tcW w:w="1418" w:type="dxa"/>
            <w:vMerge/>
          </w:tcPr>
          <w:p w:rsidR="00712BCA" w:rsidRDefault="00712BCA">
            <w:pPr>
              <w:spacing w:before="60" w:after="60" w:line="240" w:lineRule="auto"/>
              <w:rPr>
                <w:sz w:val="21"/>
                <w:szCs w:val="21"/>
                <w:lang w:val="pt-BR"/>
              </w:rPr>
            </w:pPr>
          </w:p>
        </w:tc>
        <w:tc>
          <w:tcPr>
            <w:tcW w:w="3712" w:type="dxa"/>
            <w:tcBorders>
              <w:top w:val="nil"/>
              <w:bottom w:val="single" w:sz="4" w:space="0" w:color="auto"/>
              <w:right w:val="single" w:sz="4" w:space="0" w:color="auto"/>
            </w:tcBorders>
          </w:tcPr>
          <w:p w:rsidR="00712BCA" w:rsidRDefault="00B043A2">
            <w:pPr>
              <w:spacing w:before="60" w:after="60" w:line="240" w:lineRule="auto"/>
              <w:ind w:left="34"/>
              <w:outlineLvl w:val="0"/>
              <w:rPr>
                <w:rFonts w:asciiTheme="minorHAnsi" w:hAnsiTheme="minorHAnsi"/>
                <w:sz w:val="21"/>
                <w:szCs w:val="21"/>
                <w:lang w:val="es-ES_tradnl"/>
              </w:rPr>
            </w:pPr>
            <w:r w:rsidRPr="00B043A2">
              <w:rPr>
                <w:rFonts w:asciiTheme="minorHAnsi" w:hAnsiTheme="minorHAnsi"/>
                <w:sz w:val="21"/>
                <w:szCs w:val="21"/>
                <w:lang w:val="es-ES_tradnl"/>
              </w:rPr>
              <w:t>Potencial de los servicios en la inserción estratégica internacional de la economía ecuatoriana</w:t>
            </w:r>
          </w:p>
        </w:tc>
        <w:tc>
          <w:tcPr>
            <w:tcW w:w="4368" w:type="dxa"/>
            <w:gridSpan w:val="2"/>
            <w:tcBorders>
              <w:top w:val="nil"/>
              <w:left w:val="single" w:sz="4" w:space="0" w:color="auto"/>
              <w:bottom w:val="single" w:sz="4" w:space="0" w:color="auto"/>
              <w:right w:val="nil"/>
            </w:tcBorders>
          </w:tcPr>
          <w:p w:rsidR="00712BCA" w:rsidRDefault="00B043A2">
            <w:pPr>
              <w:spacing w:before="60" w:after="60" w:line="240" w:lineRule="auto"/>
              <w:rPr>
                <w:sz w:val="21"/>
                <w:szCs w:val="21"/>
                <w:lang w:val="es-ES_tradnl"/>
              </w:rPr>
            </w:pPr>
            <w:r w:rsidRPr="00B043A2">
              <w:rPr>
                <w:rFonts w:asciiTheme="minorHAnsi" w:hAnsiTheme="minorHAnsi"/>
                <w:b/>
                <w:sz w:val="21"/>
                <w:szCs w:val="21"/>
                <w:lang w:val="es-ES_tradnl"/>
              </w:rPr>
              <w:t>Carlos de la Torre,</w:t>
            </w:r>
            <w:r w:rsidRPr="00B043A2">
              <w:rPr>
                <w:rFonts w:asciiTheme="minorHAnsi" w:hAnsiTheme="minorHAnsi"/>
                <w:sz w:val="21"/>
                <w:szCs w:val="21"/>
                <w:lang w:val="es-ES_tradnl"/>
              </w:rPr>
              <w:t xml:space="preserve"> Pontificia Universidad Católica Ecuador, Ecuador</w:t>
            </w:r>
          </w:p>
        </w:tc>
      </w:tr>
      <w:tr w:rsidR="00007122" w:rsidRPr="00C73F70" w:rsidTr="00E90570">
        <w:trPr>
          <w:gridAfter w:val="1"/>
          <w:wAfter w:w="4016" w:type="dxa"/>
          <w:trHeight w:val="584"/>
        </w:trPr>
        <w:tc>
          <w:tcPr>
            <w:tcW w:w="1418" w:type="dxa"/>
            <w:vMerge/>
          </w:tcPr>
          <w:p w:rsidR="00712BCA" w:rsidRDefault="00712BCA">
            <w:pPr>
              <w:spacing w:before="60" w:after="60" w:line="240" w:lineRule="auto"/>
              <w:rPr>
                <w:sz w:val="21"/>
                <w:szCs w:val="21"/>
                <w:lang w:val="pt-BR"/>
              </w:rPr>
            </w:pPr>
          </w:p>
        </w:tc>
        <w:tc>
          <w:tcPr>
            <w:tcW w:w="8080" w:type="dxa"/>
            <w:gridSpan w:val="3"/>
            <w:tcBorders>
              <w:top w:val="nil"/>
              <w:bottom w:val="single" w:sz="4" w:space="0" w:color="auto"/>
              <w:right w:val="nil"/>
            </w:tcBorders>
          </w:tcPr>
          <w:p w:rsidR="00712BCA" w:rsidRDefault="00B043A2">
            <w:pPr>
              <w:spacing w:before="60" w:after="60" w:line="240" w:lineRule="auto"/>
              <w:jc w:val="both"/>
              <w:rPr>
                <w:rFonts w:asciiTheme="minorHAnsi" w:hAnsiTheme="minorHAnsi"/>
                <w:b/>
                <w:i/>
                <w:color w:val="17365D" w:themeColor="text2" w:themeShade="BF"/>
                <w:sz w:val="21"/>
                <w:szCs w:val="21"/>
                <w:lang w:val="es-ES_tradnl"/>
              </w:rPr>
            </w:pPr>
            <w:r w:rsidRPr="00B043A2">
              <w:rPr>
                <w:rFonts w:asciiTheme="minorHAnsi" w:hAnsiTheme="minorHAnsi"/>
                <w:b/>
                <w:i/>
                <w:color w:val="17365D" w:themeColor="text2" w:themeShade="BF"/>
                <w:sz w:val="21"/>
                <w:szCs w:val="21"/>
                <w:lang w:val="es-ES_tradnl"/>
              </w:rPr>
              <w:t xml:space="preserve">Sesión IV: Experiencias nacionales en América Latina y el Caribe </w:t>
            </w:r>
          </w:p>
          <w:p w:rsidR="00712BCA" w:rsidRDefault="00B043A2" w:rsidP="00E90570">
            <w:pPr>
              <w:spacing w:before="60" w:after="60" w:line="240" w:lineRule="auto"/>
              <w:jc w:val="both"/>
              <w:rPr>
                <w:rFonts w:asciiTheme="minorHAnsi" w:hAnsiTheme="minorHAnsi"/>
                <w:b/>
                <w:sz w:val="21"/>
                <w:szCs w:val="21"/>
                <w:lang w:val="es-ES_tradnl"/>
              </w:rPr>
            </w:pPr>
            <w:r w:rsidRPr="00B043A2">
              <w:rPr>
                <w:rFonts w:asciiTheme="minorHAnsi" w:hAnsiTheme="minorHAnsi"/>
                <w:sz w:val="21"/>
                <w:szCs w:val="21"/>
                <w:lang w:val="es-ES_tradnl"/>
              </w:rPr>
              <w:t xml:space="preserve">(Auditorio Enrique V. Iglesias) - </w:t>
            </w:r>
            <w:r w:rsidRPr="00BD3493">
              <w:rPr>
                <w:rFonts w:asciiTheme="minorHAnsi" w:hAnsiTheme="minorHAnsi"/>
                <w:b/>
                <w:sz w:val="21"/>
                <w:szCs w:val="21"/>
                <w:lang w:val="es-ES_tradnl"/>
              </w:rPr>
              <w:t xml:space="preserve">Moderador: </w:t>
            </w:r>
            <w:r w:rsidR="00E90570" w:rsidRPr="00BD3493">
              <w:rPr>
                <w:rFonts w:asciiTheme="minorHAnsi" w:hAnsiTheme="minorHAnsi"/>
                <w:b/>
                <w:spacing w:val="-2"/>
                <w:sz w:val="21"/>
                <w:szCs w:val="21"/>
                <w:lang w:val="es-ES_tradnl"/>
              </w:rPr>
              <w:t>José</w:t>
            </w:r>
            <w:r w:rsidR="00E90570" w:rsidRPr="00E90570">
              <w:rPr>
                <w:rFonts w:asciiTheme="minorHAnsi" w:hAnsiTheme="minorHAnsi"/>
                <w:b/>
                <w:spacing w:val="-2"/>
                <w:sz w:val="21"/>
                <w:szCs w:val="21"/>
                <w:lang w:val="es-ES_tradnl"/>
              </w:rPr>
              <w:t xml:space="preserve"> E. Durán Lima</w:t>
            </w:r>
            <w:r w:rsidR="00E90570">
              <w:rPr>
                <w:rFonts w:asciiTheme="minorHAnsi" w:hAnsiTheme="minorHAnsi"/>
                <w:spacing w:val="-2"/>
                <w:sz w:val="21"/>
                <w:szCs w:val="21"/>
                <w:lang w:val="es-ES_tradnl"/>
              </w:rPr>
              <w:t>, CEPAL</w:t>
            </w:r>
          </w:p>
        </w:tc>
      </w:tr>
      <w:tr w:rsidR="00007122" w:rsidRPr="00C73F70" w:rsidTr="00234AED">
        <w:trPr>
          <w:gridAfter w:val="1"/>
          <w:wAfter w:w="4016" w:type="dxa"/>
          <w:trHeight w:val="431"/>
        </w:trPr>
        <w:tc>
          <w:tcPr>
            <w:tcW w:w="1418" w:type="dxa"/>
            <w:vMerge/>
          </w:tcPr>
          <w:p w:rsidR="00712BCA" w:rsidRDefault="00712BCA" w:rsidP="002C34D6">
            <w:pPr>
              <w:spacing w:after="0" w:line="240" w:lineRule="auto"/>
              <w:rPr>
                <w:sz w:val="21"/>
                <w:szCs w:val="21"/>
                <w:lang w:val="pt-BR"/>
              </w:rPr>
            </w:pPr>
          </w:p>
        </w:tc>
        <w:tc>
          <w:tcPr>
            <w:tcW w:w="3712" w:type="dxa"/>
            <w:tcBorders>
              <w:top w:val="single" w:sz="4" w:space="0" w:color="auto"/>
              <w:bottom w:val="nil"/>
              <w:right w:val="single" w:sz="4" w:space="0" w:color="auto"/>
            </w:tcBorders>
          </w:tcPr>
          <w:p w:rsidR="00712BCA" w:rsidRDefault="00B043A2" w:rsidP="002C34D6">
            <w:pPr>
              <w:spacing w:after="0" w:line="240" w:lineRule="auto"/>
              <w:ind w:left="34"/>
              <w:outlineLvl w:val="0"/>
              <w:rPr>
                <w:rFonts w:asciiTheme="minorHAnsi" w:hAnsiTheme="minorHAnsi"/>
                <w:sz w:val="21"/>
                <w:szCs w:val="21"/>
                <w:lang w:val="es-ES_tradnl"/>
              </w:rPr>
            </w:pPr>
            <w:r w:rsidRPr="00B043A2">
              <w:rPr>
                <w:rFonts w:asciiTheme="minorHAnsi" w:hAnsiTheme="minorHAnsi"/>
                <w:sz w:val="21"/>
                <w:szCs w:val="21"/>
                <w:lang w:val="es-ES_tradnl"/>
              </w:rPr>
              <w:t>La externalización de los servicios: una oportunidad de inserción para Cuba en el comercio internacional</w:t>
            </w:r>
          </w:p>
        </w:tc>
        <w:tc>
          <w:tcPr>
            <w:tcW w:w="4368" w:type="dxa"/>
            <w:gridSpan w:val="2"/>
            <w:tcBorders>
              <w:top w:val="single" w:sz="4" w:space="0" w:color="auto"/>
              <w:left w:val="single" w:sz="4" w:space="0" w:color="auto"/>
              <w:bottom w:val="nil"/>
              <w:right w:val="nil"/>
            </w:tcBorders>
          </w:tcPr>
          <w:p w:rsidR="00712BCA" w:rsidRDefault="00B043A2" w:rsidP="002C34D6">
            <w:pPr>
              <w:spacing w:after="0" w:line="240" w:lineRule="auto"/>
              <w:outlineLvl w:val="0"/>
              <w:rPr>
                <w:rFonts w:asciiTheme="minorHAnsi" w:hAnsiTheme="minorHAnsi"/>
                <w:b/>
                <w:sz w:val="21"/>
                <w:szCs w:val="21"/>
                <w:lang w:val="es-ES_tradnl"/>
              </w:rPr>
            </w:pPr>
            <w:r w:rsidRPr="00B043A2">
              <w:rPr>
                <w:rFonts w:asciiTheme="minorHAnsi" w:hAnsiTheme="minorHAnsi"/>
                <w:b/>
                <w:sz w:val="21"/>
                <w:szCs w:val="21"/>
                <w:lang w:val="es-ES_tradnl"/>
              </w:rPr>
              <w:t>Nieves Pico,</w:t>
            </w:r>
            <w:r w:rsidRPr="00B043A2">
              <w:rPr>
                <w:rFonts w:asciiTheme="minorHAnsi" w:hAnsiTheme="minorHAnsi"/>
                <w:sz w:val="21"/>
                <w:szCs w:val="21"/>
                <w:lang w:val="es-ES_tradnl"/>
              </w:rPr>
              <w:t xml:space="preserve"> Instituto Nacional de Investigaciones Económicas, Cuba</w:t>
            </w:r>
          </w:p>
        </w:tc>
      </w:tr>
      <w:tr w:rsidR="00007122" w:rsidRPr="00C73F70" w:rsidTr="0085258C">
        <w:trPr>
          <w:gridAfter w:val="1"/>
          <w:wAfter w:w="4016" w:type="dxa"/>
          <w:trHeight w:val="1050"/>
        </w:trPr>
        <w:tc>
          <w:tcPr>
            <w:tcW w:w="1418" w:type="dxa"/>
            <w:vMerge/>
            <w:tcBorders>
              <w:top w:val="nil"/>
              <w:bottom w:val="single" w:sz="4" w:space="0" w:color="auto"/>
              <w:right w:val="single" w:sz="4" w:space="0" w:color="auto"/>
            </w:tcBorders>
          </w:tcPr>
          <w:p w:rsidR="00712BCA" w:rsidRDefault="00712BCA" w:rsidP="002C34D6">
            <w:pPr>
              <w:spacing w:after="0" w:line="240" w:lineRule="auto"/>
              <w:rPr>
                <w:sz w:val="21"/>
                <w:szCs w:val="21"/>
                <w:lang w:val="pt-BR"/>
              </w:rPr>
            </w:pPr>
          </w:p>
        </w:tc>
        <w:tc>
          <w:tcPr>
            <w:tcW w:w="3712" w:type="dxa"/>
            <w:tcBorders>
              <w:top w:val="nil"/>
              <w:left w:val="single" w:sz="4" w:space="0" w:color="auto"/>
              <w:bottom w:val="single" w:sz="4" w:space="0" w:color="auto"/>
              <w:right w:val="single" w:sz="4" w:space="0" w:color="auto"/>
            </w:tcBorders>
          </w:tcPr>
          <w:p w:rsidR="002C34D6" w:rsidRPr="00E90570" w:rsidRDefault="002C34D6" w:rsidP="002C34D6">
            <w:pPr>
              <w:spacing w:after="0" w:line="240" w:lineRule="auto"/>
              <w:ind w:left="34"/>
              <w:outlineLvl w:val="0"/>
              <w:rPr>
                <w:rFonts w:asciiTheme="minorHAnsi" w:hAnsiTheme="minorHAnsi"/>
                <w:sz w:val="21"/>
                <w:szCs w:val="21"/>
                <w:lang w:val="es-ES_tradnl"/>
              </w:rPr>
            </w:pPr>
          </w:p>
          <w:p w:rsidR="00712BCA" w:rsidRDefault="00B043A2" w:rsidP="002C34D6">
            <w:pPr>
              <w:spacing w:after="0" w:line="240" w:lineRule="auto"/>
              <w:ind w:left="34"/>
              <w:outlineLvl w:val="0"/>
              <w:rPr>
                <w:rFonts w:asciiTheme="minorHAnsi" w:hAnsiTheme="minorHAnsi"/>
                <w:sz w:val="21"/>
                <w:szCs w:val="21"/>
              </w:rPr>
            </w:pPr>
            <w:r w:rsidRPr="00B043A2">
              <w:rPr>
                <w:rFonts w:asciiTheme="minorHAnsi" w:hAnsiTheme="minorHAnsi"/>
                <w:sz w:val="21"/>
                <w:szCs w:val="21"/>
              </w:rPr>
              <w:t>The search for homogeneity in the heterogeneity: An analysis of the service sector in Brazil and Spain</w:t>
            </w:r>
          </w:p>
          <w:p w:rsidR="002C34D6" w:rsidRDefault="002C34D6" w:rsidP="002C34D6">
            <w:pPr>
              <w:spacing w:after="0" w:line="240" w:lineRule="auto"/>
              <w:ind w:left="34"/>
              <w:outlineLvl w:val="0"/>
              <w:rPr>
                <w:rFonts w:asciiTheme="minorHAnsi" w:hAnsiTheme="minorHAnsi"/>
                <w:sz w:val="21"/>
                <w:szCs w:val="21"/>
              </w:rPr>
            </w:pPr>
          </w:p>
          <w:p w:rsidR="002C34D6" w:rsidRDefault="002C34D6" w:rsidP="002C34D6">
            <w:pPr>
              <w:spacing w:after="0" w:line="240" w:lineRule="auto"/>
              <w:ind w:left="34"/>
              <w:outlineLvl w:val="0"/>
              <w:rPr>
                <w:rFonts w:asciiTheme="minorHAnsi" w:hAnsiTheme="minorHAnsi"/>
                <w:sz w:val="21"/>
                <w:szCs w:val="21"/>
              </w:rPr>
            </w:pPr>
          </w:p>
          <w:p w:rsidR="002C34D6" w:rsidRDefault="002C34D6" w:rsidP="002C34D6">
            <w:pPr>
              <w:spacing w:after="0" w:line="240" w:lineRule="auto"/>
              <w:ind w:left="34"/>
              <w:outlineLvl w:val="0"/>
              <w:rPr>
                <w:rFonts w:asciiTheme="minorHAnsi" w:hAnsiTheme="minorHAnsi"/>
                <w:sz w:val="21"/>
                <w:szCs w:val="21"/>
              </w:rPr>
            </w:pPr>
          </w:p>
        </w:tc>
        <w:tc>
          <w:tcPr>
            <w:tcW w:w="4368" w:type="dxa"/>
            <w:gridSpan w:val="2"/>
            <w:tcBorders>
              <w:top w:val="nil"/>
              <w:left w:val="single" w:sz="4" w:space="0" w:color="auto"/>
              <w:bottom w:val="single" w:sz="4" w:space="0" w:color="auto"/>
              <w:right w:val="nil"/>
            </w:tcBorders>
          </w:tcPr>
          <w:p w:rsidR="002C34D6" w:rsidRPr="00E90570" w:rsidRDefault="002C34D6" w:rsidP="002C34D6">
            <w:pPr>
              <w:spacing w:after="0" w:line="240" w:lineRule="auto"/>
              <w:rPr>
                <w:rFonts w:asciiTheme="minorHAnsi" w:hAnsiTheme="minorHAnsi"/>
                <w:b/>
                <w:sz w:val="21"/>
                <w:szCs w:val="21"/>
              </w:rPr>
            </w:pPr>
          </w:p>
          <w:p w:rsidR="00712BCA" w:rsidRDefault="00B043A2" w:rsidP="002C34D6">
            <w:pPr>
              <w:spacing w:after="0" w:line="240" w:lineRule="auto"/>
              <w:rPr>
                <w:rFonts w:asciiTheme="minorHAnsi" w:hAnsiTheme="minorHAnsi"/>
                <w:sz w:val="21"/>
                <w:szCs w:val="21"/>
                <w:lang w:val="es-ES_tradnl"/>
              </w:rPr>
            </w:pPr>
            <w:r w:rsidRPr="00B043A2">
              <w:rPr>
                <w:rFonts w:asciiTheme="minorHAnsi" w:hAnsiTheme="minorHAnsi"/>
                <w:b/>
                <w:sz w:val="21"/>
                <w:szCs w:val="21"/>
                <w:lang w:val="es-ES_tradnl"/>
              </w:rPr>
              <w:t>Suzana Quinet de Andrade Bastos</w:t>
            </w:r>
            <w:r w:rsidRPr="00B043A2">
              <w:rPr>
                <w:rFonts w:asciiTheme="minorHAnsi" w:hAnsiTheme="minorHAnsi"/>
                <w:sz w:val="21"/>
                <w:szCs w:val="21"/>
                <w:lang w:val="es-ES_tradnl"/>
              </w:rPr>
              <w:t>, Fernando Salgueiro Perobelli, José Antonio Camacho &amp; Manuel Hernández Peinado, Universidad Federal de Juiz de Fora, Brasil</w:t>
            </w:r>
          </w:p>
          <w:p w:rsidR="000545B7" w:rsidRDefault="000545B7" w:rsidP="002C34D6">
            <w:pPr>
              <w:spacing w:after="0" w:line="240" w:lineRule="auto"/>
              <w:rPr>
                <w:rFonts w:asciiTheme="minorHAnsi" w:hAnsiTheme="minorHAnsi"/>
                <w:sz w:val="21"/>
                <w:szCs w:val="21"/>
                <w:lang w:val="es-ES_tradnl"/>
              </w:rPr>
            </w:pPr>
          </w:p>
          <w:p w:rsidR="002C34D6" w:rsidRPr="002C34D6" w:rsidRDefault="002C34D6" w:rsidP="002C34D6">
            <w:pPr>
              <w:spacing w:after="0" w:line="240" w:lineRule="auto"/>
              <w:rPr>
                <w:sz w:val="21"/>
                <w:szCs w:val="21"/>
                <w:lang w:val="es-ES_tradnl"/>
              </w:rPr>
            </w:pPr>
          </w:p>
        </w:tc>
      </w:tr>
      <w:tr w:rsidR="0085258C" w:rsidRPr="0085258C" w:rsidTr="0085258C">
        <w:trPr>
          <w:gridAfter w:val="1"/>
          <w:wAfter w:w="4016" w:type="dxa"/>
          <w:trHeight w:val="1050"/>
        </w:trPr>
        <w:tc>
          <w:tcPr>
            <w:tcW w:w="1418" w:type="dxa"/>
            <w:tcBorders>
              <w:top w:val="single" w:sz="4" w:space="0" w:color="auto"/>
              <w:bottom w:val="single" w:sz="4" w:space="0" w:color="auto"/>
              <w:right w:val="single" w:sz="4" w:space="0" w:color="auto"/>
            </w:tcBorders>
          </w:tcPr>
          <w:p w:rsidR="0085258C" w:rsidRDefault="0085258C" w:rsidP="002C34D6">
            <w:pPr>
              <w:spacing w:after="0" w:line="240" w:lineRule="auto"/>
              <w:rPr>
                <w:sz w:val="21"/>
                <w:szCs w:val="21"/>
                <w:lang w:val="pt-BR"/>
              </w:rPr>
            </w:pPr>
          </w:p>
        </w:tc>
        <w:tc>
          <w:tcPr>
            <w:tcW w:w="3712" w:type="dxa"/>
            <w:tcBorders>
              <w:top w:val="single" w:sz="4" w:space="0" w:color="auto"/>
              <w:left w:val="single" w:sz="4" w:space="0" w:color="auto"/>
              <w:bottom w:val="single" w:sz="4" w:space="0" w:color="auto"/>
              <w:right w:val="single" w:sz="4" w:space="0" w:color="auto"/>
            </w:tcBorders>
          </w:tcPr>
          <w:p w:rsidR="0085258C" w:rsidRPr="0085258C" w:rsidRDefault="0085258C" w:rsidP="002C34D6">
            <w:pPr>
              <w:spacing w:after="0" w:line="240" w:lineRule="auto"/>
              <w:ind w:left="34"/>
              <w:outlineLvl w:val="0"/>
              <w:rPr>
                <w:rFonts w:asciiTheme="minorHAnsi" w:hAnsiTheme="minorHAnsi"/>
                <w:sz w:val="21"/>
                <w:szCs w:val="21"/>
              </w:rPr>
            </w:pPr>
            <w:r>
              <w:rPr>
                <w:rFonts w:asciiTheme="minorHAnsi" w:hAnsiTheme="minorHAnsi"/>
                <w:sz w:val="21"/>
                <w:szCs w:val="21"/>
              </w:rPr>
              <w:t>W</w:t>
            </w:r>
            <w:r w:rsidRPr="002C34D6">
              <w:rPr>
                <w:rFonts w:asciiTheme="minorHAnsi" w:hAnsiTheme="minorHAnsi"/>
                <w:sz w:val="21"/>
                <w:szCs w:val="21"/>
              </w:rPr>
              <w:t>inning through specialization: the role of the business model for value creation</w:t>
            </w:r>
          </w:p>
        </w:tc>
        <w:tc>
          <w:tcPr>
            <w:tcW w:w="4368" w:type="dxa"/>
            <w:gridSpan w:val="2"/>
            <w:tcBorders>
              <w:top w:val="single" w:sz="4" w:space="0" w:color="auto"/>
              <w:left w:val="single" w:sz="4" w:space="0" w:color="auto"/>
              <w:bottom w:val="single" w:sz="4" w:space="0" w:color="auto"/>
              <w:right w:val="nil"/>
            </w:tcBorders>
          </w:tcPr>
          <w:p w:rsidR="0085258C" w:rsidRDefault="0085258C" w:rsidP="0085258C">
            <w:pPr>
              <w:spacing w:after="0" w:line="240" w:lineRule="auto"/>
              <w:rPr>
                <w:color w:val="000000"/>
                <w:lang w:val="es-ES_tradnl"/>
              </w:rPr>
            </w:pPr>
            <w:r w:rsidRPr="002C34D6">
              <w:rPr>
                <w:b/>
                <w:color w:val="000000"/>
                <w:lang w:val="es-ES_tradnl"/>
              </w:rPr>
              <w:t>Fabio Neves Rocha</w:t>
            </w:r>
            <w:r w:rsidRPr="002C34D6">
              <w:rPr>
                <w:color w:val="000000"/>
                <w:lang w:val="es-ES_tradnl"/>
              </w:rPr>
              <w:t>, Faculdades Associadas de São Paulo</w:t>
            </w:r>
          </w:p>
          <w:p w:rsidR="0085258C" w:rsidRPr="00E90570" w:rsidRDefault="0085258C" w:rsidP="0085258C">
            <w:pPr>
              <w:spacing w:after="0" w:line="240" w:lineRule="auto"/>
              <w:rPr>
                <w:rFonts w:asciiTheme="minorHAnsi" w:hAnsiTheme="minorHAnsi"/>
                <w:b/>
                <w:sz w:val="21"/>
                <w:szCs w:val="21"/>
              </w:rPr>
            </w:pPr>
            <w:r w:rsidRPr="002C34D6">
              <w:rPr>
                <w:color w:val="000000"/>
                <w:lang w:val="es-ES_tradnl"/>
              </w:rPr>
              <w:t>Dimária Silva e Meirelles, Mackenzie Presbyterian University</w:t>
            </w:r>
          </w:p>
        </w:tc>
      </w:tr>
      <w:tr w:rsidR="00CB074D" w:rsidRPr="001F03F7" w:rsidTr="00234AED">
        <w:trPr>
          <w:gridAfter w:val="1"/>
          <w:wAfter w:w="4016" w:type="dxa"/>
          <w:trHeight w:val="431"/>
        </w:trPr>
        <w:tc>
          <w:tcPr>
            <w:tcW w:w="1418" w:type="dxa"/>
            <w:tcBorders>
              <w:top w:val="single" w:sz="4" w:space="0" w:color="auto"/>
            </w:tcBorders>
            <w:shd w:val="clear" w:color="auto" w:fill="F2F2F2" w:themeFill="background1" w:themeFillShade="F2"/>
          </w:tcPr>
          <w:p w:rsidR="00712BCA" w:rsidRDefault="00B043A2" w:rsidP="002C34D6">
            <w:pPr>
              <w:spacing w:after="0" w:line="240" w:lineRule="auto"/>
              <w:rPr>
                <w:sz w:val="21"/>
                <w:szCs w:val="21"/>
                <w:lang w:val="es-CR"/>
              </w:rPr>
            </w:pPr>
            <w:r w:rsidRPr="00B043A2">
              <w:rPr>
                <w:sz w:val="21"/>
                <w:szCs w:val="21"/>
                <w:lang w:val="es-CR"/>
              </w:rPr>
              <w:t>11:00 – 11:20</w:t>
            </w:r>
          </w:p>
        </w:tc>
        <w:tc>
          <w:tcPr>
            <w:tcW w:w="8080" w:type="dxa"/>
            <w:gridSpan w:val="3"/>
            <w:tcBorders>
              <w:top w:val="single" w:sz="4" w:space="0" w:color="auto"/>
            </w:tcBorders>
            <w:shd w:val="clear" w:color="auto" w:fill="F2F2F2"/>
          </w:tcPr>
          <w:p w:rsidR="00712BCA" w:rsidRDefault="00B043A2">
            <w:pPr>
              <w:spacing w:before="60" w:after="60" w:line="240" w:lineRule="auto"/>
              <w:rPr>
                <w:sz w:val="21"/>
                <w:szCs w:val="21"/>
                <w:lang w:val="es-CR"/>
              </w:rPr>
            </w:pPr>
            <w:r w:rsidRPr="00B043A2">
              <w:rPr>
                <w:sz w:val="21"/>
                <w:szCs w:val="21"/>
                <w:lang w:val="es-CR"/>
              </w:rPr>
              <w:t>Café</w:t>
            </w:r>
          </w:p>
        </w:tc>
      </w:tr>
      <w:tr w:rsidR="00E73F8C" w:rsidRPr="001F03F7" w:rsidTr="00D51A4A">
        <w:trPr>
          <w:gridAfter w:val="1"/>
          <w:wAfter w:w="4016" w:type="dxa"/>
          <w:trHeight w:val="287"/>
        </w:trPr>
        <w:tc>
          <w:tcPr>
            <w:tcW w:w="1418" w:type="dxa"/>
            <w:vMerge w:val="restart"/>
            <w:shd w:val="clear" w:color="auto" w:fill="auto"/>
          </w:tcPr>
          <w:p w:rsidR="00712BCA" w:rsidRDefault="00B043A2">
            <w:pPr>
              <w:spacing w:before="60" w:after="60" w:line="240" w:lineRule="auto"/>
              <w:rPr>
                <w:sz w:val="21"/>
                <w:szCs w:val="21"/>
                <w:lang w:val="es-CR"/>
              </w:rPr>
            </w:pPr>
            <w:r w:rsidRPr="00B043A2">
              <w:rPr>
                <w:sz w:val="21"/>
                <w:szCs w:val="21"/>
                <w:lang w:val="es-CR"/>
              </w:rPr>
              <w:t>11:20 – 13:00</w:t>
            </w:r>
          </w:p>
        </w:tc>
        <w:tc>
          <w:tcPr>
            <w:tcW w:w="8080" w:type="dxa"/>
            <w:gridSpan w:val="3"/>
            <w:tcBorders>
              <w:bottom w:val="single" w:sz="4" w:space="0" w:color="auto"/>
            </w:tcBorders>
          </w:tcPr>
          <w:p w:rsidR="00712BCA" w:rsidRDefault="00B043A2">
            <w:pPr>
              <w:spacing w:before="60" w:after="60" w:line="240" w:lineRule="auto"/>
              <w:jc w:val="both"/>
              <w:rPr>
                <w:rFonts w:asciiTheme="minorHAnsi" w:hAnsiTheme="minorHAnsi"/>
                <w:b/>
                <w:i/>
                <w:color w:val="17365D" w:themeColor="text2" w:themeShade="BF"/>
                <w:sz w:val="21"/>
                <w:szCs w:val="21"/>
                <w:lang w:val="es-ES_tradnl"/>
              </w:rPr>
            </w:pPr>
            <w:r w:rsidRPr="00B043A2">
              <w:rPr>
                <w:rFonts w:asciiTheme="minorHAnsi" w:hAnsiTheme="minorHAnsi"/>
                <w:b/>
                <w:i/>
                <w:color w:val="17365D" w:themeColor="text2" w:themeShade="BF"/>
                <w:sz w:val="21"/>
                <w:szCs w:val="21"/>
                <w:lang w:val="es-ES_tradnl"/>
              </w:rPr>
              <w:t>Sesiones Paralelas V &amp; VI</w:t>
            </w:r>
          </w:p>
        </w:tc>
      </w:tr>
      <w:tr w:rsidR="00E73F8C" w:rsidRPr="00C73F70" w:rsidTr="00D51A4A">
        <w:trPr>
          <w:gridAfter w:val="1"/>
          <w:wAfter w:w="4016" w:type="dxa"/>
          <w:trHeight w:val="287"/>
        </w:trPr>
        <w:tc>
          <w:tcPr>
            <w:tcW w:w="1418" w:type="dxa"/>
            <w:vMerge/>
            <w:shd w:val="clear" w:color="auto" w:fill="auto"/>
          </w:tcPr>
          <w:p w:rsidR="00712BCA" w:rsidRDefault="00712BCA">
            <w:pPr>
              <w:spacing w:before="60" w:after="60" w:line="240" w:lineRule="auto"/>
              <w:rPr>
                <w:sz w:val="21"/>
                <w:szCs w:val="21"/>
                <w:lang w:val="es-CR"/>
              </w:rPr>
            </w:pPr>
          </w:p>
        </w:tc>
        <w:tc>
          <w:tcPr>
            <w:tcW w:w="8080" w:type="dxa"/>
            <w:gridSpan w:val="3"/>
            <w:tcBorders>
              <w:bottom w:val="single" w:sz="4" w:space="0" w:color="auto"/>
            </w:tcBorders>
          </w:tcPr>
          <w:p w:rsidR="00712BCA" w:rsidRDefault="00B043A2">
            <w:pPr>
              <w:spacing w:before="60" w:after="60" w:line="240" w:lineRule="auto"/>
              <w:outlineLvl w:val="0"/>
              <w:rPr>
                <w:rFonts w:asciiTheme="minorHAnsi" w:hAnsiTheme="minorHAnsi"/>
                <w:b/>
                <w:i/>
                <w:color w:val="17365D" w:themeColor="text2" w:themeShade="BF"/>
                <w:sz w:val="21"/>
                <w:szCs w:val="21"/>
                <w:lang w:val="es-ES_tradnl"/>
              </w:rPr>
            </w:pPr>
            <w:r w:rsidRPr="00B043A2">
              <w:rPr>
                <w:rFonts w:asciiTheme="minorHAnsi" w:hAnsiTheme="minorHAnsi"/>
                <w:b/>
                <w:i/>
                <w:color w:val="17365D" w:themeColor="text2" w:themeShade="BF"/>
                <w:sz w:val="21"/>
                <w:szCs w:val="21"/>
                <w:lang w:val="es-ES_tradnl"/>
              </w:rPr>
              <w:t>Sesión V: Experiencias sectoriales en América Latina y el Caribe</w:t>
            </w:r>
          </w:p>
          <w:p w:rsidR="00712BCA" w:rsidRDefault="00B043A2">
            <w:pPr>
              <w:spacing w:before="60" w:after="60" w:line="240" w:lineRule="auto"/>
              <w:outlineLvl w:val="0"/>
              <w:rPr>
                <w:sz w:val="21"/>
                <w:szCs w:val="21"/>
                <w:lang w:val="es-ES_tradnl"/>
              </w:rPr>
            </w:pPr>
            <w:r w:rsidRPr="00B043A2">
              <w:rPr>
                <w:rFonts w:asciiTheme="minorHAnsi" w:hAnsiTheme="minorHAnsi"/>
                <w:sz w:val="21"/>
                <w:szCs w:val="21"/>
                <w:lang w:val="es-ES_tradnl"/>
              </w:rPr>
              <w:t xml:space="preserve">(Sala Celso Furtado) - </w:t>
            </w:r>
            <w:r w:rsidRPr="00BD3493">
              <w:rPr>
                <w:rFonts w:asciiTheme="minorHAnsi" w:hAnsiTheme="minorHAnsi"/>
                <w:b/>
                <w:sz w:val="21"/>
                <w:szCs w:val="21"/>
                <w:lang w:val="es-ES_tradnl"/>
              </w:rPr>
              <w:t>Moderador:</w:t>
            </w:r>
            <w:r w:rsidRPr="00B043A2">
              <w:rPr>
                <w:rFonts w:asciiTheme="minorHAnsi" w:hAnsiTheme="minorHAnsi"/>
                <w:sz w:val="21"/>
                <w:szCs w:val="21"/>
                <w:lang w:val="es-ES_tradnl"/>
              </w:rPr>
              <w:t xml:space="preserve"> </w:t>
            </w:r>
            <w:r w:rsidRPr="00B043A2">
              <w:rPr>
                <w:rFonts w:asciiTheme="minorHAnsi" w:hAnsiTheme="minorHAnsi"/>
                <w:b/>
                <w:sz w:val="21"/>
                <w:szCs w:val="21"/>
                <w:lang w:val="es-ES_tradnl"/>
              </w:rPr>
              <w:t>Bradley Condon</w:t>
            </w:r>
            <w:r w:rsidRPr="00B043A2">
              <w:rPr>
                <w:rFonts w:asciiTheme="minorHAnsi" w:hAnsiTheme="minorHAnsi"/>
                <w:sz w:val="21"/>
                <w:szCs w:val="21"/>
                <w:lang w:val="es-ES_tradnl"/>
              </w:rPr>
              <w:t>, Cátedra OMC - ITAM, México</w:t>
            </w:r>
          </w:p>
        </w:tc>
      </w:tr>
      <w:tr w:rsidR="00E73F8C" w:rsidRPr="001F03F7" w:rsidTr="00D51A4A">
        <w:trPr>
          <w:trHeight w:val="620"/>
        </w:trPr>
        <w:tc>
          <w:tcPr>
            <w:tcW w:w="1418" w:type="dxa"/>
            <w:vMerge/>
            <w:shd w:val="clear" w:color="auto" w:fill="auto"/>
          </w:tcPr>
          <w:p w:rsidR="00712BCA" w:rsidRDefault="00712BCA">
            <w:pPr>
              <w:spacing w:before="60" w:after="60" w:line="240" w:lineRule="auto"/>
              <w:rPr>
                <w:sz w:val="21"/>
                <w:szCs w:val="21"/>
                <w:lang w:val="es-CR"/>
              </w:rPr>
            </w:pPr>
          </w:p>
        </w:tc>
        <w:tc>
          <w:tcPr>
            <w:tcW w:w="3712" w:type="dxa"/>
            <w:tcBorders>
              <w:top w:val="nil"/>
              <w:left w:val="single" w:sz="4" w:space="0" w:color="auto"/>
              <w:bottom w:val="nil"/>
              <w:right w:val="single" w:sz="4" w:space="0" w:color="auto"/>
            </w:tcBorders>
          </w:tcPr>
          <w:p w:rsidR="00712BCA" w:rsidRDefault="00B043A2">
            <w:pPr>
              <w:spacing w:before="60" w:after="60" w:line="240" w:lineRule="auto"/>
              <w:ind w:left="34"/>
              <w:outlineLvl w:val="0"/>
              <w:rPr>
                <w:rFonts w:asciiTheme="minorHAnsi" w:hAnsiTheme="minorHAnsi"/>
                <w:spacing w:val="-2"/>
                <w:sz w:val="21"/>
                <w:szCs w:val="21"/>
              </w:rPr>
            </w:pPr>
            <w:r w:rsidRPr="00B043A2">
              <w:rPr>
                <w:rFonts w:asciiTheme="minorHAnsi" w:hAnsiTheme="minorHAnsi"/>
                <w:spacing w:val="-2"/>
                <w:sz w:val="21"/>
                <w:szCs w:val="21"/>
              </w:rPr>
              <w:t>The development of the computer services industry in Chile: A viable road to reverse the country’s export concentration?</w:t>
            </w:r>
          </w:p>
        </w:tc>
        <w:tc>
          <w:tcPr>
            <w:tcW w:w="4368" w:type="dxa"/>
            <w:gridSpan w:val="2"/>
            <w:tcBorders>
              <w:top w:val="nil"/>
              <w:left w:val="single" w:sz="4" w:space="0" w:color="auto"/>
              <w:bottom w:val="nil"/>
              <w:right w:val="nil"/>
            </w:tcBorders>
          </w:tcPr>
          <w:p w:rsidR="00712BCA" w:rsidRDefault="00B043A2" w:rsidP="00114527">
            <w:pPr>
              <w:spacing w:before="60" w:after="60" w:line="240" w:lineRule="auto"/>
              <w:outlineLvl w:val="0"/>
              <w:rPr>
                <w:color w:val="008000"/>
                <w:sz w:val="21"/>
                <w:szCs w:val="21"/>
              </w:rPr>
            </w:pPr>
            <w:r w:rsidRPr="00B043A2">
              <w:rPr>
                <w:rFonts w:asciiTheme="minorHAnsi" w:hAnsiTheme="minorHAnsi"/>
                <w:sz w:val="21"/>
                <w:szCs w:val="21"/>
              </w:rPr>
              <w:t>Nanno Mulder, CEPAL, Chile</w:t>
            </w:r>
            <w:r w:rsidR="00114527">
              <w:rPr>
                <w:rFonts w:asciiTheme="minorHAnsi" w:hAnsiTheme="minorHAnsi"/>
                <w:sz w:val="21"/>
                <w:szCs w:val="21"/>
              </w:rPr>
              <w:br/>
            </w:r>
            <w:r w:rsidRPr="00B043A2">
              <w:rPr>
                <w:rFonts w:asciiTheme="minorHAnsi" w:hAnsiTheme="minorHAnsi"/>
                <w:b/>
                <w:sz w:val="21"/>
                <w:szCs w:val="21"/>
              </w:rPr>
              <w:t>Francisco Rivera,</w:t>
            </w:r>
            <w:r w:rsidRPr="00B043A2">
              <w:rPr>
                <w:rFonts w:asciiTheme="minorHAnsi" w:hAnsiTheme="minorHAnsi"/>
                <w:sz w:val="21"/>
                <w:szCs w:val="21"/>
              </w:rPr>
              <w:t xml:space="preserve"> Prochile, Chile</w:t>
            </w:r>
            <w:r w:rsidR="00114527">
              <w:rPr>
                <w:rFonts w:asciiTheme="minorHAnsi" w:hAnsiTheme="minorHAnsi"/>
                <w:sz w:val="21"/>
                <w:szCs w:val="21"/>
              </w:rPr>
              <w:br/>
            </w:r>
            <w:r w:rsidR="002F610B">
              <w:rPr>
                <w:rFonts w:asciiTheme="minorHAnsi" w:hAnsiTheme="minorHAnsi"/>
                <w:sz w:val="21"/>
                <w:szCs w:val="21"/>
              </w:rPr>
              <w:t>Osvaldo Marinao, Prochile, Chile</w:t>
            </w:r>
          </w:p>
        </w:tc>
        <w:tc>
          <w:tcPr>
            <w:tcW w:w="4016" w:type="dxa"/>
            <w:tcBorders>
              <w:top w:val="nil"/>
              <w:left w:val="nil"/>
              <w:bottom w:val="nil"/>
              <w:right w:val="nil"/>
            </w:tcBorders>
          </w:tcPr>
          <w:p w:rsidR="00712BCA" w:rsidRDefault="00712BCA">
            <w:pPr>
              <w:spacing w:before="60" w:after="60" w:line="240" w:lineRule="auto"/>
              <w:rPr>
                <w:color w:val="008000"/>
                <w:sz w:val="21"/>
                <w:szCs w:val="21"/>
              </w:rPr>
            </w:pPr>
          </w:p>
        </w:tc>
      </w:tr>
      <w:tr w:rsidR="00E73F8C" w:rsidRPr="00C73F70" w:rsidTr="00D51A4A">
        <w:trPr>
          <w:gridAfter w:val="1"/>
          <w:wAfter w:w="4016" w:type="dxa"/>
          <w:trHeight w:val="467"/>
        </w:trPr>
        <w:tc>
          <w:tcPr>
            <w:tcW w:w="1418" w:type="dxa"/>
            <w:vMerge/>
            <w:shd w:val="clear" w:color="auto" w:fill="auto"/>
          </w:tcPr>
          <w:p w:rsidR="00712BCA" w:rsidRDefault="00712BCA">
            <w:pPr>
              <w:spacing w:before="60" w:after="60" w:line="240" w:lineRule="auto"/>
              <w:rPr>
                <w:sz w:val="21"/>
                <w:szCs w:val="21"/>
              </w:rPr>
            </w:pPr>
          </w:p>
        </w:tc>
        <w:tc>
          <w:tcPr>
            <w:tcW w:w="3712" w:type="dxa"/>
            <w:tcBorders>
              <w:top w:val="nil"/>
              <w:bottom w:val="nil"/>
              <w:right w:val="single" w:sz="4" w:space="0" w:color="auto"/>
            </w:tcBorders>
          </w:tcPr>
          <w:p w:rsidR="00712BCA" w:rsidRDefault="00B043A2">
            <w:pPr>
              <w:spacing w:before="60" w:after="60" w:line="240" w:lineRule="auto"/>
              <w:ind w:left="34"/>
              <w:outlineLvl w:val="0"/>
              <w:rPr>
                <w:rFonts w:asciiTheme="minorHAnsi" w:hAnsiTheme="minorHAnsi"/>
                <w:sz w:val="21"/>
                <w:szCs w:val="21"/>
              </w:rPr>
            </w:pPr>
            <w:r w:rsidRPr="00B043A2">
              <w:rPr>
                <w:rFonts w:asciiTheme="minorHAnsi" w:hAnsiTheme="minorHAnsi"/>
                <w:sz w:val="21"/>
                <w:szCs w:val="21"/>
              </w:rPr>
              <w:t>Can Mexico set up in the Software and IT Global Value Chains as a high value added player?</w:t>
            </w:r>
          </w:p>
        </w:tc>
        <w:tc>
          <w:tcPr>
            <w:tcW w:w="4368" w:type="dxa"/>
            <w:gridSpan w:val="2"/>
            <w:tcBorders>
              <w:top w:val="nil"/>
              <w:left w:val="single" w:sz="4" w:space="0" w:color="auto"/>
              <w:bottom w:val="nil"/>
              <w:right w:val="nil"/>
            </w:tcBorders>
          </w:tcPr>
          <w:p w:rsidR="00712BCA" w:rsidRDefault="00B043A2">
            <w:pPr>
              <w:spacing w:before="60" w:after="60" w:line="240" w:lineRule="auto"/>
              <w:rPr>
                <w:sz w:val="21"/>
                <w:szCs w:val="21"/>
                <w:lang w:val="es-ES_tradnl"/>
              </w:rPr>
            </w:pPr>
            <w:r w:rsidRPr="00B23106">
              <w:rPr>
                <w:rFonts w:asciiTheme="minorHAnsi" w:hAnsiTheme="minorHAnsi"/>
                <w:b/>
                <w:sz w:val="21"/>
                <w:szCs w:val="21"/>
                <w:lang w:val="es-ES_tradnl"/>
              </w:rPr>
              <w:t>Lilia Domínguez-Villalobos &amp;</w:t>
            </w:r>
            <w:r w:rsidRPr="00B043A2">
              <w:rPr>
                <w:rFonts w:asciiTheme="minorHAnsi" w:hAnsiTheme="minorHAnsi"/>
                <w:sz w:val="21"/>
                <w:szCs w:val="21"/>
                <w:lang w:val="es-ES_tradnl"/>
              </w:rPr>
              <w:t xml:space="preserve"> </w:t>
            </w:r>
            <w:r w:rsidRPr="00B043A2">
              <w:rPr>
                <w:rFonts w:asciiTheme="minorHAnsi" w:hAnsiTheme="minorHAnsi"/>
                <w:b/>
                <w:sz w:val="21"/>
                <w:szCs w:val="21"/>
                <w:lang w:val="es-ES_tradnl"/>
              </w:rPr>
              <w:t>Flor Brown</w:t>
            </w:r>
            <w:r w:rsidRPr="00B043A2">
              <w:rPr>
                <w:rFonts w:asciiTheme="minorHAnsi" w:hAnsiTheme="minorHAnsi"/>
                <w:sz w:val="21"/>
                <w:szCs w:val="21"/>
                <w:lang w:val="es-ES_tradnl"/>
              </w:rPr>
              <w:t xml:space="preserve">, Universidad Nacional Autónoma de México, México </w:t>
            </w:r>
          </w:p>
        </w:tc>
      </w:tr>
      <w:tr w:rsidR="00E73F8C" w:rsidRPr="00C73F70" w:rsidTr="00D51A4A">
        <w:trPr>
          <w:gridAfter w:val="1"/>
          <w:wAfter w:w="4016" w:type="dxa"/>
          <w:trHeight w:val="467"/>
        </w:trPr>
        <w:tc>
          <w:tcPr>
            <w:tcW w:w="1418" w:type="dxa"/>
            <w:vMerge/>
            <w:shd w:val="clear" w:color="auto" w:fill="auto"/>
          </w:tcPr>
          <w:p w:rsidR="00712BCA" w:rsidRDefault="00712BCA">
            <w:pPr>
              <w:spacing w:before="60" w:after="60" w:line="240" w:lineRule="auto"/>
              <w:rPr>
                <w:sz w:val="21"/>
                <w:szCs w:val="21"/>
                <w:lang w:val="es-CR"/>
              </w:rPr>
            </w:pPr>
          </w:p>
        </w:tc>
        <w:tc>
          <w:tcPr>
            <w:tcW w:w="3712" w:type="dxa"/>
            <w:tcBorders>
              <w:top w:val="nil"/>
              <w:bottom w:val="nil"/>
              <w:right w:val="single" w:sz="4" w:space="0" w:color="auto"/>
            </w:tcBorders>
          </w:tcPr>
          <w:p w:rsidR="00712BCA" w:rsidRDefault="00B043A2">
            <w:pPr>
              <w:spacing w:before="60" w:after="60" w:line="240" w:lineRule="auto"/>
              <w:ind w:left="34"/>
              <w:jc w:val="both"/>
              <w:outlineLvl w:val="0"/>
              <w:rPr>
                <w:rFonts w:asciiTheme="minorHAnsi" w:hAnsiTheme="minorHAnsi"/>
                <w:sz w:val="21"/>
                <w:szCs w:val="21"/>
                <w:lang w:val="es-ES_tradnl"/>
              </w:rPr>
            </w:pPr>
            <w:r w:rsidRPr="00B043A2">
              <w:rPr>
                <w:rFonts w:asciiTheme="minorHAnsi" w:hAnsiTheme="minorHAnsi"/>
                <w:sz w:val="21"/>
                <w:szCs w:val="21"/>
                <w:lang w:val="es-ES_tradnl"/>
              </w:rPr>
              <w:t>La industria electrónica y la evolución de la industria de software  en dos regiones de México</w:t>
            </w:r>
          </w:p>
        </w:tc>
        <w:tc>
          <w:tcPr>
            <w:tcW w:w="4368" w:type="dxa"/>
            <w:gridSpan w:val="2"/>
            <w:tcBorders>
              <w:top w:val="nil"/>
              <w:left w:val="single" w:sz="4" w:space="0" w:color="auto"/>
              <w:bottom w:val="nil"/>
              <w:right w:val="nil"/>
            </w:tcBorders>
          </w:tcPr>
          <w:p w:rsidR="00712BCA" w:rsidRDefault="00B043A2" w:rsidP="00234AED">
            <w:pPr>
              <w:spacing w:before="60" w:after="60" w:line="240" w:lineRule="auto"/>
              <w:outlineLvl w:val="0"/>
              <w:rPr>
                <w:sz w:val="21"/>
                <w:szCs w:val="21"/>
                <w:lang w:val="pt-BR"/>
              </w:rPr>
            </w:pPr>
            <w:r w:rsidRPr="00B043A2">
              <w:rPr>
                <w:rFonts w:asciiTheme="minorHAnsi" w:hAnsiTheme="minorHAnsi"/>
                <w:sz w:val="21"/>
                <w:szCs w:val="21"/>
                <w:lang w:val="es-ES_tradnl"/>
              </w:rPr>
              <w:t>Mónica Casalet, FLACSO México</w:t>
            </w:r>
            <w:r w:rsidR="00234AED">
              <w:rPr>
                <w:rFonts w:asciiTheme="minorHAnsi" w:hAnsiTheme="minorHAnsi"/>
                <w:sz w:val="21"/>
                <w:szCs w:val="21"/>
                <w:lang w:val="es-ES_tradnl"/>
              </w:rPr>
              <w:br/>
            </w:r>
            <w:r w:rsidRPr="00B043A2">
              <w:rPr>
                <w:rFonts w:asciiTheme="minorHAnsi" w:hAnsiTheme="minorHAnsi"/>
                <w:b/>
                <w:sz w:val="21"/>
                <w:szCs w:val="21"/>
                <w:lang w:val="es-ES_tradnl"/>
              </w:rPr>
              <w:t>Víctor Hugo</w:t>
            </w:r>
            <w:r w:rsidRPr="00B043A2">
              <w:rPr>
                <w:rFonts w:asciiTheme="minorHAnsi" w:hAnsiTheme="minorHAnsi"/>
                <w:sz w:val="21"/>
                <w:szCs w:val="21"/>
                <w:lang w:val="es-ES_tradnl"/>
              </w:rPr>
              <w:t xml:space="preserve"> </w:t>
            </w:r>
            <w:r w:rsidRPr="00B043A2">
              <w:rPr>
                <w:rFonts w:asciiTheme="minorHAnsi" w:hAnsiTheme="minorHAnsi"/>
                <w:b/>
                <w:sz w:val="21"/>
                <w:szCs w:val="21"/>
                <w:lang w:val="es-ES_tradnl"/>
              </w:rPr>
              <w:t>Guadarrama</w:t>
            </w:r>
            <w:r w:rsidRPr="00B043A2">
              <w:rPr>
                <w:rFonts w:asciiTheme="minorHAnsi" w:hAnsiTheme="minorHAnsi"/>
                <w:sz w:val="21"/>
                <w:szCs w:val="21"/>
                <w:lang w:val="es-ES_tradnl"/>
              </w:rPr>
              <w:t>, Universidad Autónoma Metropolitana-Xochimilco, México</w:t>
            </w:r>
          </w:p>
        </w:tc>
      </w:tr>
      <w:tr w:rsidR="00E73F8C" w:rsidRPr="00C73F70" w:rsidTr="0015769D">
        <w:trPr>
          <w:gridAfter w:val="1"/>
          <w:wAfter w:w="4016" w:type="dxa"/>
          <w:trHeight w:val="467"/>
        </w:trPr>
        <w:tc>
          <w:tcPr>
            <w:tcW w:w="1418" w:type="dxa"/>
            <w:vMerge/>
            <w:shd w:val="clear" w:color="auto" w:fill="auto"/>
          </w:tcPr>
          <w:p w:rsidR="00712BCA" w:rsidRDefault="00712BCA">
            <w:pPr>
              <w:spacing w:before="60" w:after="60" w:line="240" w:lineRule="auto"/>
              <w:rPr>
                <w:sz w:val="21"/>
                <w:szCs w:val="21"/>
                <w:lang w:val="es-CR"/>
              </w:rPr>
            </w:pPr>
          </w:p>
        </w:tc>
        <w:tc>
          <w:tcPr>
            <w:tcW w:w="3712" w:type="dxa"/>
            <w:tcBorders>
              <w:top w:val="nil"/>
              <w:bottom w:val="single" w:sz="4" w:space="0" w:color="auto"/>
              <w:right w:val="single" w:sz="4" w:space="0" w:color="auto"/>
            </w:tcBorders>
          </w:tcPr>
          <w:p w:rsidR="00712BCA" w:rsidRDefault="00B043A2">
            <w:pPr>
              <w:spacing w:before="60" w:after="60" w:line="240" w:lineRule="auto"/>
              <w:ind w:left="34"/>
              <w:outlineLvl w:val="0"/>
              <w:rPr>
                <w:rFonts w:asciiTheme="minorHAnsi" w:hAnsiTheme="minorHAnsi"/>
                <w:sz w:val="21"/>
                <w:szCs w:val="21"/>
                <w:lang w:val="es-ES_tradnl"/>
              </w:rPr>
            </w:pPr>
            <w:r w:rsidRPr="00B043A2">
              <w:rPr>
                <w:rFonts w:asciiTheme="minorHAnsi" w:hAnsiTheme="minorHAnsi"/>
                <w:sz w:val="21"/>
                <w:szCs w:val="21"/>
                <w:lang w:val="es-ES_tradnl"/>
              </w:rPr>
              <w:t>Externalización de la Gestión del Conocimiento: Cómo las Políticas Públicas en Ciencia, Tecnología e Innovación favorecen la Competitividad del sector biotecnológico en Colombia</w:t>
            </w:r>
          </w:p>
        </w:tc>
        <w:tc>
          <w:tcPr>
            <w:tcW w:w="4368" w:type="dxa"/>
            <w:gridSpan w:val="2"/>
            <w:tcBorders>
              <w:top w:val="nil"/>
              <w:left w:val="single" w:sz="4" w:space="0" w:color="auto"/>
              <w:bottom w:val="single" w:sz="4" w:space="0" w:color="auto"/>
              <w:right w:val="nil"/>
            </w:tcBorders>
          </w:tcPr>
          <w:p w:rsidR="00712BCA" w:rsidRDefault="00B043A2" w:rsidP="00F52A2F">
            <w:pPr>
              <w:spacing w:before="60" w:after="60" w:line="240" w:lineRule="auto"/>
              <w:rPr>
                <w:sz w:val="21"/>
                <w:szCs w:val="21"/>
                <w:lang w:val="es-ES_tradnl"/>
              </w:rPr>
            </w:pPr>
            <w:r w:rsidRPr="00B043A2">
              <w:rPr>
                <w:rFonts w:asciiTheme="minorHAnsi" w:hAnsiTheme="minorHAnsi"/>
                <w:sz w:val="21"/>
                <w:szCs w:val="21"/>
                <w:lang w:val="es-ES_tradnl"/>
              </w:rPr>
              <w:t xml:space="preserve">Luis Rincón &amp; </w:t>
            </w:r>
            <w:r w:rsidRPr="00B043A2">
              <w:rPr>
                <w:rFonts w:asciiTheme="minorHAnsi" w:hAnsiTheme="minorHAnsi"/>
                <w:b/>
                <w:sz w:val="21"/>
                <w:szCs w:val="21"/>
                <w:lang w:val="es-ES_tradnl"/>
              </w:rPr>
              <w:t>Rodrigo Corredor,</w:t>
            </w:r>
            <w:r w:rsidRPr="00B043A2">
              <w:rPr>
                <w:rFonts w:asciiTheme="minorHAnsi" w:hAnsiTheme="minorHAnsi"/>
                <w:sz w:val="21"/>
                <w:szCs w:val="21"/>
                <w:lang w:val="es-ES_tradnl"/>
              </w:rPr>
              <w:t xml:space="preserve"> Universidad del Externado, Colombia </w:t>
            </w:r>
          </w:p>
        </w:tc>
      </w:tr>
      <w:tr w:rsidR="00E73F8C" w:rsidRPr="00C73F70" w:rsidTr="0015769D">
        <w:trPr>
          <w:gridAfter w:val="1"/>
          <w:wAfter w:w="4016" w:type="dxa"/>
          <w:trHeight w:val="314"/>
        </w:trPr>
        <w:tc>
          <w:tcPr>
            <w:tcW w:w="1418" w:type="dxa"/>
            <w:vMerge/>
            <w:shd w:val="clear" w:color="auto" w:fill="auto"/>
          </w:tcPr>
          <w:p w:rsidR="00712BCA" w:rsidRDefault="00712BCA">
            <w:pPr>
              <w:spacing w:before="60" w:after="60" w:line="240" w:lineRule="auto"/>
              <w:rPr>
                <w:sz w:val="21"/>
                <w:szCs w:val="21"/>
                <w:lang w:val="es-CR"/>
              </w:rPr>
            </w:pPr>
          </w:p>
        </w:tc>
        <w:tc>
          <w:tcPr>
            <w:tcW w:w="8080" w:type="dxa"/>
            <w:gridSpan w:val="3"/>
            <w:tcBorders>
              <w:top w:val="single" w:sz="4" w:space="0" w:color="auto"/>
              <w:bottom w:val="single" w:sz="4" w:space="0" w:color="auto"/>
              <w:right w:val="nil"/>
            </w:tcBorders>
          </w:tcPr>
          <w:p w:rsidR="00712BCA" w:rsidRDefault="00B043A2">
            <w:pPr>
              <w:spacing w:before="60" w:after="60" w:line="240" w:lineRule="auto"/>
              <w:jc w:val="both"/>
              <w:outlineLvl w:val="0"/>
              <w:rPr>
                <w:rFonts w:asciiTheme="minorHAnsi" w:hAnsiTheme="minorHAnsi"/>
                <w:b/>
                <w:i/>
                <w:color w:val="17365D" w:themeColor="text2" w:themeShade="BF"/>
                <w:sz w:val="21"/>
                <w:szCs w:val="21"/>
                <w:lang w:val="es-ES_tradnl"/>
              </w:rPr>
            </w:pPr>
            <w:r w:rsidRPr="00B043A2">
              <w:rPr>
                <w:rFonts w:asciiTheme="minorHAnsi" w:hAnsiTheme="minorHAnsi"/>
                <w:b/>
                <w:i/>
                <w:color w:val="17365D" w:themeColor="text2" w:themeShade="BF"/>
                <w:sz w:val="21"/>
                <w:szCs w:val="21"/>
                <w:lang w:val="es-ES_tradnl"/>
              </w:rPr>
              <w:t>Sesión VI: Experiencias sectoriales en América Latina y el Caribe</w:t>
            </w:r>
          </w:p>
          <w:p w:rsidR="00712BCA" w:rsidRDefault="00B043A2" w:rsidP="000545B7">
            <w:pPr>
              <w:spacing w:before="60" w:after="60" w:line="240" w:lineRule="auto"/>
              <w:jc w:val="both"/>
              <w:rPr>
                <w:rFonts w:asciiTheme="minorHAnsi" w:hAnsiTheme="minorHAnsi"/>
                <w:color w:val="00B050"/>
                <w:sz w:val="21"/>
                <w:szCs w:val="21"/>
                <w:lang w:val="es-ES"/>
              </w:rPr>
            </w:pPr>
            <w:r w:rsidRPr="00B043A2">
              <w:rPr>
                <w:rFonts w:asciiTheme="minorHAnsi" w:hAnsiTheme="minorHAnsi"/>
                <w:sz w:val="21"/>
                <w:szCs w:val="21"/>
                <w:lang w:val="es-ES_tradnl"/>
              </w:rPr>
              <w:t xml:space="preserve">(Auditorio Enrique V. Iglesias) - </w:t>
            </w:r>
            <w:r w:rsidRPr="00BD3493">
              <w:rPr>
                <w:rFonts w:asciiTheme="minorHAnsi" w:hAnsiTheme="minorHAnsi"/>
                <w:b/>
                <w:sz w:val="21"/>
                <w:szCs w:val="21"/>
                <w:lang w:val="es-ES_tradnl"/>
              </w:rPr>
              <w:t xml:space="preserve">Moderador: </w:t>
            </w:r>
            <w:r w:rsidR="000545B7" w:rsidRPr="00BD3493">
              <w:rPr>
                <w:rFonts w:asciiTheme="minorHAnsi" w:hAnsiTheme="minorHAnsi"/>
                <w:b/>
                <w:sz w:val="21"/>
                <w:szCs w:val="21"/>
                <w:lang w:val="es-ES_tradnl"/>
              </w:rPr>
              <w:t>Alicia</w:t>
            </w:r>
            <w:r w:rsidR="000545B7">
              <w:rPr>
                <w:rFonts w:asciiTheme="minorHAnsi" w:hAnsiTheme="minorHAnsi"/>
                <w:b/>
                <w:sz w:val="21"/>
                <w:szCs w:val="21"/>
                <w:lang w:val="es-ES_tradnl"/>
              </w:rPr>
              <w:t xml:space="preserve"> Frohmann</w:t>
            </w:r>
            <w:r w:rsidRPr="00B043A2">
              <w:rPr>
                <w:rFonts w:asciiTheme="minorHAnsi" w:hAnsiTheme="minorHAnsi"/>
                <w:sz w:val="21"/>
                <w:szCs w:val="21"/>
                <w:lang w:val="es-ES_tradnl"/>
              </w:rPr>
              <w:t>, CEPAL</w:t>
            </w:r>
          </w:p>
        </w:tc>
      </w:tr>
      <w:tr w:rsidR="00E73F8C" w:rsidRPr="00C73F70" w:rsidTr="0015769D">
        <w:trPr>
          <w:gridAfter w:val="1"/>
          <w:wAfter w:w="4016" w:type="dxa"/>
          <w:trHeight w:val="845"/>
        </w:trPr>
        <w:tc>
          <w:tcPr>
            <w:tcW w:w="1418" w:type="dxa"/>
            <w:vMerge/>
            <w:tcBorders>
              <w:right w:val="single" w:sz="4" w:space="0" w:color="auto"/>
            </w:tcBorders>
            <w:shd w:val="clear" w:color="auto" w:fill="auto"/>
          </w:tcPr>
          <w:p w:rsidR="00712BCA" w:rsidRDefault="00712BCA">
            <w:pPr>
              <w:spacing w:before="60" w:after="60" w:line="240" w:lineRule="auto"/>
              <w:rPr>
                <w:sz w:val="21"/>
                <w:szCs w:val="21"/>
                <w:lang w:val="es-CR"/>
              </w:rPr>
            </w:pPr>
          </w:p>
        </w:tc>
        <w:tc>
          <w:tcPr>
            <w:tcW w:w="3969" w:type="dxa"/>
            <w:gridSpan w:val="2"/>
            <w:tcBorders>
              <w:top w:val="single" w:sz="4" w:space="0" w:color="auto"/>
              <w:left w:val="single" w:sz="4" w:space="0" w:color="auto"/>
              <w:bottom w:val="nil"/>
              <w:right w:val="single" w:sz="4" w:space="0" w:color="auto"/>
            </w:tcBorders>
          </w:tcPr>
          <w:p w:rsidR="00712BCA" w:rsidRPr="0085258C" w:rsidRDefault="00B043A2">
            <w:pPr>
              <w:spacing w:before="60" w:after="60" w:line="240" w:lineRule="auto"/>
              <w:ind w:left="34"/>
              <w:outlineLvl w:val="0"/>
              <w:rPr>
                <w:color w:val="00B050"/>
                <w:spacing w:val="-6"/>
                <w:sz w:val="21"/>
                <w:szCs w:val="21"/>
                <w:lang w:val="es-CR"/>
              </w:rPr>
            </w:pPr>
            <w:r w:rsidRPr="0085258C">
              <w:rPr>
                <w:rFonts w:asciiTheme="minorHAnsi" w:hAnsiTheme="minorHAnsi"/>
                <w:spacing w:val="-6"/>
                <w:sz w:val="21"/>
                <w:szCs w:val="21"/>
                <w:lang w:val="es-ES_tradnl"/>
              </w:rPr>
              <w:t>La Sociedad del Conocimiento y la Exportación de Servicios Educacionales a China: Experiencias en Argentina, Chile y México</w:t>
            </w:r>
          </w:p>
        </w:tc>
        <w:tc>
          <w:tcPr>
            <w:tcW w:w="4111" w:type="dxa"/>
            <w:tcBorders>
              <w:top w:val="single" w:sz="4" w:space="0" w:color="auto"/>
              <w:left w:val="single" w:sz="4" w:space="0" w:color="auto"/>
              <w:bottom w:val="nil"/>
            </w:tcBorders>
          </w:tcPr>
          <w:p w:rsidR="00712BCA" w:rsidRDefault="00B043A2">
            <w:pPr>
              <w:spacing w:before="60" w:after="60" w:line="240" w:lineRule="auto"/>
              <w:rPr>
                <w:color w:val="00B050"/>
                <w:sz w:val="21"/>
                <w:szCs w:val="21"/>
                <w:lang w:val="es-CR"/>
              </w:rPr>
            </w:pPr>
            <w:r w:rsidRPr="00B043A2">
              <w:rPr>
                <w:rFonts w:asciiTheme="minorHAnsi" w:hAnsiTheme="minorHAnsi"/>
                <w:b/>
                <w:sz w:val="21"/>
                <w:szCs w:val="21"/>
                <w:lang w:val="es-ES_tradnl"/>
              </w:rPr>
              <w:t>Pamela Aróstica</w:t>
            </w:r>
            <w:r w:rsidRPr="00B043A2">
              <w:rPr>
                <w:rFonts w:asciiTheme="minorHAnsi" w:hAnsiTheme="minorHAnsi"/>
                <w:sz w:val="21"/>
                <w:szCs w:val="21"/>
                <w:lang w:val="es-ES_tradnl"/>
              </w:rPr>
              <w:t>, Universidad Libre de Berlín, Alemania</w:t>
            </w:r>
          </w:p>
        </w:tc>
      </w:tr>
      <w:tr w:rsidR="00E73F8C" w:rsidRPr="00C73F70" w:rsidTr="0015769D">
        <w:trPr>
          <w:gridAfter w:val="1"/>
          <w:wAfter w:w="4016" w:type="dxa"/>
          <w:trHeight w:val="254"/>
        </w:trPr>
        <w:tc>
          <w:tcPr>
            <w:tcW w:w="1418" w:type="dxa"/>
            <w:vMerge/>
            <w:tcBorders>
              <w:right w:val="single" w:sz="4" w:space="0" w:color="auto"/>
            </w:tcBorders>
          </w:tcPr>
          <w:p w:rsidR="00712BCA" w:rsidRDefault="00712BCA">
            <w:pPr>
              <w:spacing w:before="60" w:after="60" w:line="240" w:lineRule="auto"/>
              <w:rPr>
                <w:sz w:val="21"/>
                <w:szCs w:val="21"/>
                <w:lang w:val="es-CR"/>
              </w:rPr>
            </w:pPr>
          </w:p>
        </w:tc>
        <w:tc>
          <w:tcPr>
            <w:tcW w:w="3969" w:type="dxa"/>
            <w:gridSpan w:val="2"/>
            <w:tcBorders>
              <w:top w:val="nil"/>
              <w:left w:val="single" w:sz="4" w:space="0" w:color="auto"/>
              <w:bottom w:val="nil"/>
              <w:right w:val="single" w:sz="4" w:space="0" w:color="auto"/>
            </w:tcBorders>
          </w:tcPr>
          <w:p w:rsidR="00712BCA" w:rsidRPr="0085258C" w:rsidRDefault="00B043A2">
            <w:pPr>
              <w:spacing w:before="60" w:after="60" w:line="240" w:lineRule="auto"/>
              <w:ind w:left="34"/>
              <w:outlineLvl w:val="0"/>
              <w:rPr>
                <w:b/>
                <w:spacing w:val="-4"/>
                <w:sz w:val="21"/>
                <w:szCs w:val="21"/>
                <w:lang w:val="es-CR"/>
              </w:rPr>
            </w:pPr>
            <w:r w:rsidRPr="0085258C">
              <w:rPr>
                <w:rFonts w:asciiTheme="minorHAnsi" w:hAnsiTheme="minorHAnsi"/>
                <w:spacing w:val="-4"/>
                <w:sz w:val="21"/>
                <w:szCs w:val="21"/>
                <w:lang w:val="es-ES_tradnl"/>
              </w:rPr>
              <w:t>Servicios tecnológicos y pruebas de laboratorio en el área de la salud en México</w:t>
            </w:r>
          </w:p>
        </w:tc>
        <w:tc>
          <w:tcPr>
            <w:tcW w:w="4111" w:type="dxa"/>
            <w:tcBorders>
              <w:top w:val="nil"/>
              <w:left w:val="single" w:sz="4" w:space="0" w:color="auto"/>
              <w:bottom w:val="nil"/>
            </w:tcBorders>
          </w:tcPr>
          <w:p w:rsidR="00712BCA" w:rsidRDefault="00B043A2">
            <w:pPr>
              <w:spacing w:before="60" w:after="60" w:line="240" w:lineRule="auto"/>
              <w:rPr>
                <w:b/>
                <w:sz w:val="21"/>
                <w:szCs w:val="21"/>
                <w:lang w:val="es-CR"/>
              </w:rPr>
            </w:pPr>
            <w:r w:rsidRPr="00B043A2">
              <w:rPr>
                <w:rFonts w:asciiTheme="minorHAnsi" w:hAnsiTheme="minorHAnsi"/>
                <w:sz w:val="21"/>
                <w:szCs w:val="21"/>
                <w:lang w:val="es-ES_tradnl"/>
              </w:rPr>
              <w:t xml:space="preserve">Humberto García &amp; </w:t>
            </w:r>
            <w:r w:rsidRPr="00B043A2">
              <w:rPr>
                <w:rFonts w:asciiTheme="minorHAnsi" w:hAnsiTheme="minorHAnsi"/>
                <w:b/>
                <w:sz w:val="21"/>
                <w:szCs w:val="21"/>
                <w:lang w:val="es-ES_tradnl"/>
              </w:rPr>
              <w:t>María de los Ángeles Pozas</w:t>
            </w:r>
            <w:r w:rsidRPr="00B043A2">
              <w:rPr>
                <w:rFonts w:asciiTheme="minorHAnsi" w:hAnsiTheme="minorHAnsi"/>
                <w:sz w:val="21"/>
                <w:szCs w:val="21"/>
                <w:lang w:val="es-ES_tradnl"/>
              </w:rPr>
              <w:t>, Colegio de México, México</w:t>
            </w:r>
          </w:p>
        </w:tc>
      </w:tr>
      <w:tr w:rsidR="00E73F8C" w:rsidRPr="001F03F7" w:rsidTr="0015769D">
        <w:trPr>
          <w:gridAfter w:val="1"/>
          <w:wAfter w:w="4016" w:type="dxa"/>
          <w:trHeight w:val="254"/>
        </w:trPr>
        <w:tc>
          <w:tcPr>
            <w:tcW w:w="1418" w:type="dxa"/>
            <w:vMerge/>
            <w:tcBorders>
              <w:right w:val="single" w:sz="4" w:space="0" w:color="auto"/>
            </w:tcBorders>
          </w:tcPr>
          <w:p w:rsidR="00712BCA" w:rsidRDefault="00712BCA">
            <w:pPr>
              <w:spacing w:before="60" w:after="60" w:line="240" w:lineRule="auto"/>
              <w:rPr>
                <w:sz w:val="21"/>
                <w:szCs w:val="21"/>
                <w:lang w:val="es-CR"/>
              </w:rPr>
            </w:pPr>
          </w:p>
        </w:tc>
        <w:tc>
          <w:tcPr>
            <w:tcW w:w="3969" w:type="dxa"/>
            <w:gridSpan w:val="2"/>
            <w:tcBorders>
              <w:top w:val="nil"/>
              <w:left w:val="single" w:sz="4" w:space="0" w:color="auto"/>
              <w:bottom w:val="nil"/>
              <w:right w:val="single" w:sz="4" w:space="0" w:color="auto"/>
            </w:tcBorders>
          </w:tcPr>
          <w:p w:rsidR="00712BCA" w:rsidRDefault="00B043A2">
            <w:pPr>
              <w:spacing w:before="60" w:after="60" w:line="240" w:lineRule="auto"/>
              <w:ind w:left="34"/>
              <w:outlineLvl w:val="0"/>
              <w:rPr>
                <w:rFonts w:asciiTheme="minorHAnsi" w:hAnsiTheme="minorHAnsi"/>
                <w:sz w:val="21"/>
                <w:szCs w:val="21"/>
                <w:lang w:val="es-ES_tradnl"/>
              </w:rPr>
            </w:pPr>
            <w:r w:rsidRPr="00B043A2">
              <w:rPr>
                <w:rFonts w:asciiTheme="minorHAnsi" w:hAnsiTheme="minorHAnsi"/>
                <w:sz w:val="21"/>
                <w:szCs w:val="21"/>
                <w:lang w:val="es-ES_tradnl"/>
              </w:rPr>
              <w:t>De la estrategia a la acción: servicios offshore en América Latina y el Caribe y su papel en las cadenas de valor</w:t>
            </w:r>
          </w:p>
        </w:tc>
        <w:tc>
          <w:tcPr>
            <w:tcW w:w="4111" w:type="dxa"/>
            <w:tcBorders>
              <w:top w:val="nil"/>
              <w:left w:val="single" w:sz="4" w:space="0" w:color="auto"/>
              <w:bottom w:val="nil"/>
            </w:tcBorders>
          </w:tcPr>
          <w:p w:rsidR="00712BCA" w:rsidRDefault="00B043A2">
            <w:pPr>
              <w:spacing w:before="60" w:after="60" w:line="240" w:lineRule="auto"/>
              <w:rPr>
                <w:sz w:val="21"/>
                <w:szCs w:val="21"/>
                <w:lang w:val="es-CR"/>
              </w:rPr>
            </w:pPr>
            <w:r w:rsidRPr="00B043A2">
              <w:rPr>
                <w:rFonts w:asciiTheme="minorHAnsi" w:hAnsiTheme="minorHAnsi"/>
                <w:b/>
                <w:sz w:val="21"/>
                <w:szCs w:val="21"/>
                <w:lang w:val="es-ES_tradnl"/>
              </w:rPr>
              <w:t>Osvaldo Marinao</w:t>
            </w:r>
            <w:r w:rsidRPr="00B043A2">
              <w:rPr>
                <w:rFonts w:asciiTheme="minorHAnsi" w:hAnsiTheme="minorHAnsi"/>
                <w:sz w:val="21"/>
                <w:szCs w:val="21"/>
                <w:lang w:val="es-ES_tradnl"/>
              </w:rPr>
              <w:t>, Prochile, Chile</w:t>
            </w:r>
          </w:p>
        </w:tc>
      </w:tr>
      <w:tr w:rsidR="00E73F8C" w:rsidRPr="00C73F70" w:rsidTr="0015769D">
        <w:trPr>
          <w:gridAfter w:val="1"/>
          <w:wAfter w:w="4016" w:type="dxa"/>
          <w:trHeight w:val="254"/>
        </w:trPr>
        <w:tc>
          <w:tcPr>
            <w:tcW w:w="1418" w:type="dxa"/>
            <w:vMerge/>
            <w:tcBorders>
              <w:bottom w:val="single" w:sz="4" w:space="0" w:color="auto"/>
              <w:right w:val="single" w:sz="4" w:space="0" w:color="auto"/>
            </w:tcBorders>
          </w:tcPr>
          <w:p w:rsidR="00712BCA" w:rsidRDefault="00712BCA">
            <w:pPr>
              <w:spacing w:before="60" w:after="60" w:line="240" w:lineRule="auto"/>
              <w:rPr>
                <w:sz w:val="21"/>
                <w:szCs w:val="21"/>
                <w:lang w:val="es-CR"/>
              </w:rPr>
            </w:pPr>
          </w:p>
        </w:tc>
        <w:tc>
          <w:tcPr>
            <w:tcW w:w="3969" w:type="dxa"/>
            <w:gridSpan w:val="2"/>
            <w:tcBorders>
              <w:top w:val="nil"/>
              <w:left w:val="single" w:sz="4" w:space="0" w:color="auto"/>
              <w:bottom w:val="single" w:sz="4" w:space="0" w:color="auto"/>
              <w:right w:val="single" w:sz="4" w:space="0" w:color="auto"/>
            </w:tcBorders>
          </w:tcPr>
          <w:p w:rsidR="00712BCA" w:rsidRDefault="00B043A2">
            <w:pPr>
              <w:spacing w:before="60" w:after="60" w:line="240" w:lineRule="auto"/>
              <w:ind w:left="34"/>
              <w:outlineLvl w:val="0"/>
              <w:rPr>
                <w:rFonts w:asciiTheme="minorHAnsi" w:hAnsiTheme="minorHAnsi"/>
                <w:sz w:val="21"/>
                <w:szCs w:val="21"/>
                <w:lang w:val="es-ES_tradnl"/>
              </w:rPr>
            </w:pPr>
            <w:r w:rsidRPr="00B043A2">
              <w:rPr>
                <w:rFonts w:asciiTheme="minorHAnsi" w:hAnsiTheme="minorHAnsi"/>
                <w:sz w:val="21"/>
                <w:szCs w:val="21"/>
                <w:lang w:val="es-ES_tradnl"/>
              </w:rPr>
              <w:t>Posibilidades de inserción de los países de América Latina en cadenas globales de valor en servicios: Estudio de exportaciones y atracción de inversiones políticas de promoción</w:t>
            </w:r>
          </w:p>
        </w:tc>
        <w:tc>
          <w:tcPr>
            <w:tcW w:w="4111" w:type="dxa"/>
            <w:tcBorders>
              <w:top w:val="nil"/>
              <w:left w:val="single" w:sz="4" w:space="0" w:color="auto"/>
              <w:bottom w:val="single" w:sz="4" w:space="0" w:color="auto"/>
            </w:tcBorders>
          </w:tcPr>
          <w:p w:rsidR="00712BCA" w:rsidRDefault="00B043A2">
            <w:pPr>
              <w:spacing w:before="60" w:after="60" w:line="240" w:lineRule="auto"/>
              <w:rPr>
                <w:sz w:val="21"/>
                <w:szCs w:val="21"/>
                <w:lang w:val="es-ES_tradnl"/>
              </w:rPr>
            </w:pPr>
            <w:r w:rsidRPr="00B043A2">
              <w:rPr>
                <w:rFonts w:asciiTheme="minorHAnsi" w:hAnsiTheme="minorHAnsi"/>
                <w:sz w:val="21"/>
                <w:szCs w:val="21"/>
                <w:lang w:val="es-ES_tradnl"/>
              </w:rPr>
              <w:t xml:space="preserve">Andrés López, Daniela Ramos &amp; </w:t>
            </w:r>
            <w:r w:rsidRPr="00B043A2">
              <w:rPr>
                <w:rFonts w:asciiTheme="minorHAnsi" w:hAnsiTheme="minorHAnsi"/>
                <w:b/>
                <w:sz w:val="21"/>
                <w:szCs w:val="21"/>
                <w:lang w:val="es-ES_tradnl"/>
              </w:rPr>
              <w:t>Andrés Niembro</w:t>
            </w:r>
            <w:r w:rsidRPr="00B043A2">
              <w:rPr>
                <w:rFonts w:asciiTheme="minorHAnsi" w:hAnsiTheme="minorHAnsi"/>
                <w:sz w:val="21"/>
                <w:szCs w:val="21"/>
                <w:lang w:val="es-ES_tradnl"/>
              </w:rPr>
              <w:t>, Centro de Investigaciones para la Transformación, Argentina</w:t>
            </w:r>
          </w:p>
        </w:tc>
      </w:tr>
      <w:tr w:rsidR="00AF5638" w:rsidRPr="0085258C" w:rsidTr="0015769D">
        <w:trPr>
          <w:gridAfter w:val="1"/>
          <w:wAfter w:w="4016" w:type="dxa"/>
          <w:trHeight w:val="254"/>
        </w:trPr>
        <w:tc>
          <w:tcPr>
            <w:tcW w:w="1418" w:type="dxa"/>
            <w:tcBorders>
              <w:top w:val="single" w:sz="4" w:space="0" w:color="auto"/>
            </w:tcBorders>
            <w:shd w:val="clear" w:color="auto" w:fill="C6D9F1" w:themeFill="text2" w:themeFillTint="33"/>
          </w:tcPr>
          <w:p w:rsidR="00712BCA" w:rsidRDefault="00B043A2">
            <w:pPr>
              <w:spacing w:before="60" w:after="60" w:line="240" w:lineRule="auto"/>
              <w:rPr>
                <w:sz w:val="21"/>
                <w:szCs w:val="21"/>
                <w:lang w:val="es-CR"/>
              </w:rPr>
            </w:pPr>
            <w:r w:rsidRPr="00B043A2">
              <w:rPr>
                <w:sz w:val="21"/>
                <w:szCs w:val="21"/>
                <w:lang w:val="es-ES"/>
              </w:rPr>
              <w:lastRenderedPageBreak/>
              <w:t>13:30 – 15:00</w:t>
            </w:r>
          </w:p>
        </w:tc>
        <w:tc>
          <w:tcPr>
            <w:tcW w:w="8080" w:type="dxa"/>
            <w:gridSpan w:val="3"/>
            <w:tcBorders>
              <w:top w:val="single" w:sz="4" w:space="0" w:color="auto"/>
            </w:tcBorders>
            <w:shd w:val="clear" w:color="auto" w:fill="C6D9F1" w:themeFill="text2" w:themeFillTint="33"/>
          </w:tcPr>
          <w:p w:rsidR="00712BCA" w:rsidRDefault="0085258C">
            <w:pPr>
              <w:spacing w:before="60" w:after="60" w:line="240" w:lineRule="auto"/>
              <w:rPr>
                <w:b/>
                <w:sz w:val="21"/>
                <w:szCs w:val="21"/>
                <w:lang w:val="es-CR"/>
              </w:rPr>
            </w:pPr>
            <w:r w:rsidRPr="00B043A2">
              <w:rPr>
                <w:b/>
                <w:sz w:val="21"/>
                <w:szCs w:val="21"/>
                <w:lang w:val="es-ES"/>
              </w:rPr>
              <w:t>Almuerzo</w:t>
            </w:r>
            <w:r>
              <w:rPr>
                <w:b/>
                <w:sz w:val="21"/>
                <w:szCs w:val="21"/>
                <w:lang w:val="es-ES"/>
              </w:rPr>
              <w:t xml:space="preserve"> (solo panelistas). Se recomienda a los demás asistentes almuerzo libre en el Casino de la CEPAL (comida caliente) o el Café Colonia (sándwiches/ensaladas).</w:t>
            </w:r>
          </w:p>
        </w:tc>
      </w:tr>
      <w:tr w:rsidR="009923F6" w:rsidRPr="00C73F70" w:rsidTr="00D51A4A">
        <w:trPr>
          <w:gridAfter w:val="1"/>
          <w:wAfter w:w="4016" w:type="dxa"/>
          <w:trHeight w:val="254"/>
        </w:trPr>
        <w:tc>
          <w:tcPr>
            <w:tcW w:w="1418" w:type="dxa"/>
          </w:tcPr>
          <w:p w:rsidR="00712BCA" w:rsidRDefault="00B043A2">
            <w:pPr>
              <w:spacing w:before="60" w:after="60" w:line="240" w:lineRule="auto"/>
              <w:rPr>
                <w:sz w:val="21"/>
                <w:szCs w:val="21"/>
                <w:lang w:val="es-CR"/>
              </w:rPr>
            </w:pPr>
            <w:r w:rsidRPr="00B043A2">
              <w:rPr>
                <w:sz w:val="21"/>
                <w:szCs w:val="21"/>
                <w:lang w:val="es-CR"/>
              </w:rPr>
              <w:t>14:30 – 15:30</w:t>
            </w:r>
          </w:p>
        </w:tc>
        <w:tc>
          <w:tcPr>
            <w:tcW w:w="8080" w:type="dxa"/>
            <w:gridSpan w:val="3"/>
          </w:tcPr>
          <w:p w:rsidR="00712BCA" w:rsidRDefault="00B043A2">
            <w:pPr>
              <w:spacing w:before="60" w:after="60" w:line="240" w:lineRule="auto"/>
              <w:rPr>
                <w:rFonts w:asciiTheme="minorHAnsi" w:hAnsiTheme="minorHAnsi"/>
                <w:b/>
                <w:sz w:val="21"/>
                <w:szCs w:val="21"/>
                <w:lang w:val="es-CR"/>
              </w:rPr>
            </w:pPr>
            <w:r w:rsidRPr="00B043A2">
              <w:rPr>
                <w:rFonts w:asciiTheme="minorHAnsi" w:hAnsiTheme="minorHAnsi"/>
                <w:b/>
                <w:i/>
                <w:color w:val="17365D" w:themeColor="text2" w:themeShade="BF"/>
                <w:sz w:val="21"/>
                <w:szCs w:val="21"/>
                <w:lang w:val="es-ES_tradnl"/>
              </w:rPr>
              <w:t>Informe de las mesas redondas 1 a 6 con sus respectivos moderadores</w:t>
            </w:r>
          </w:p>
        </w:tc>
      </w:tr>
      <w:tr w:rsidR="001F03F7" w:rsidRPr="001F03F7" w:rsidTr="00D51A4A">
        <w:trPr>
          <w:gridAfter w:val="1"/>
          <w:wAfter w:w="4016" w:type="dxa"/>
          <w:trHeight w:val="254"/>
        </w:trPr>
        <w:tc>
          <w:tcPr>
            <w:tcW w:w="1418" w:type="dxa"/>
          </w:tcPr>
          <w:p w:rsidR="00712BCA" w:rsidRDefault="00B043A2">
            <w:pPr>
              <w:spacing w:before="60" w:after="60" w:line="240" w:lineRule="auto"/>
              <w:rPr>
                <w:sz w:val="21"/>
                <w:szCs w:val="21"/>
                <w:lang w:val="es-CR"/>
              </w:rPr>
            </w:pPr>
            <w:r w:rsidRPr="00B043A2">
              <w:rPr>
                <w:sz w:val="21"/>
                <w:szCs w:val="21"/>
                <w:lang w:val="es-CR"/>
              </w:rPr>
              <w:t>15:30 – 17:30</w:t>
            </w:r>
          </w:p>
        </w:tc>
        <w:tc>
          <w:tcPr>
            <w:tcW w:w="8080" w:type="dxa"/>
            <w:gridSpan w:val="3"/>
          </w:tcPr>
          <w:p w:rsidR="00712BCA" w:rsidRDefault="00B043A2">
            <w:pPr>
              <w:spacing w:before="60" w:after="60" w:line="240" w:lineRule="auto"/>
              <w:rPr>
                <w:rFonts w:asciiTheme="minorHAnsi" w:hAnsiTheme="minorHAnsi"/>
                <w:b/>
                <w:sz w:val="21"/>
                <w:szCs w:val="21"/>
                <w:lang w:val="es-ES_tradnl"/>
              </w:rPr>
            </w:pPr>
            <w:r w:rsidRPr="00B043A2">
              <w:rPr>
                <w:rFonts w:asciiTheme="minorHAnsi" w:hAnsiTheme="minorHAnsi"/>
                <w:b/>
                <w:i/>
                <w:color w:val="17365D" w:themeColor="text2" w:themeShade="BF"/>
                <w:sz w:val="21"/>
                <w:szCs w:val="21"/>
                <w:lang w:val="es-ES_tradnl"/>
              </w:rPr>
              <w:t>Mesa redonda: factores críticos para avanzar hacia los sectores intensivos en conocimiento</w:t>
            </w:r>
          </w:p>
          <w:p w:rsidR="00712BCA" w:rsidRDefault="00B043A2">
            <w:pPr>
              <w:spacing w:before="60" w:after="60" w:line="240" w:lineRule="auto"/>
              <w:rPr>
                <w:rFonts w:asciiTheme="minorHAnsi" w:hAnsiTheme="minorHAnsi"/>
                <w:sz w:val="21"/>
                <w:szCs w:val="21"/>
                <w:lang w:val="es-ES_tradnl"/>
              </w:rPr>
            </w:pPr>
            <w:r w:rsidRPr="00B043A2">
              <w:rPr>
                <w:rFonts w:asciiTheme="minorHAnsi" w:hAnsiTheme="minorHAnsi"/>
                <w:sz w:val="21"/>
                <w:szCs w:val="21"/>
                <w:lang w:val="es-ES_tradnl"/>
              </w:rPr>
              <w:t>Los temas centrales son la formación de recursos humanos, la infraestructura y regulación, el desarrollo de las industrias nacionales y las alianzas públicos – privadas.</w:t>
            </w:r>
          </w:p>
          <w:p w:rsidR="00712BCA" w:rsidRDefault="00712BCA">
            <w:pPr>
              <w:spacing w:before="60" w:after="60" w:line="240" w:lineRule="auto"/>
              <w:rPr>
                <w:rFonts w:asciiTheme="minorHAnsi" w:hAnsiTheme="minorHAnsi"/>
                <w:sz w:val="10"/>
                <w:szCs w:val="10"/>
                <w:lang w:val="es-ES_tradnl"/>
              </w:rPr>
            </w:pPr>
          </w:p>
          <w:p w:rsidR="00712BCA" w:rsidRDefault="00B043A2">
            <w:pPr>
              <w:spacing w:before="60" w:after="60" w:line="240" w:lineRule="auto"/>
              <w:rPr>
                <w:rFonts w:asciiTheme="minorHAnsi" w:hAnsiTheme="minorHAnsi"/>
                <w:b/>
                <w:sz w:val="21"/>
                <w:szCs w:val="21"/>
                <w:lang w:val="es-ES_tradnl"/>
              </w:rPr>
            </w:pPr>
            <w:r w:rsidRPr="00B043A2">
              <w:rPr>
                <w:rFonts w:asciiTheme="minorHAnsi" w:hAnsiTheme="minorHAnsi"/>
                <w:sz w:val="21"/>
                <w:szCs w:val="21"/>
                <w:lang w:val="es-ES_tradnl"/>
              </w:rPr>
              <w:t xml:space="preserve">(Durante esta mesa, habrá </w:t>
            </w:r>
            <w:r w:rsidRPr="00B043A2">
              <w:rPr>
                <w:rFonts w:asciiTheme="minorHAnsi" w:hAnsiTheme="minorHAnsi"/>
                <w:sz w:val="21"/>
                <w:szCs w:val="21"/>
                <w:u w:val="single"/>
                <w:lang w:val="es-ES_tradnl"/>
              </w:rPr>
              <w:t>café</w:t>
            </w:r>
            <w:r w:rsidRPr="00B043A2">
              <w:rPr>
                <w:rFonts w:asciiTheme="minorHAnsi" w:hAnsiTheme="minorHAnsi"/>
                <w:sz w:val="21"/>
                <w:szCs w:val="21"/>
                <w:lang w:val="es-ES_tradnl"/>
              </w:rPr>
              <w:t xml:space="preserve"> disponible fuera de la sala Celso Furtado)</w:t>
            </w:r>
          </w:p>
          <w:p w:rsidR="00712BCA" w:rsidRDefault="00712BCA">
            <w:pPr>
              <w:spacing w:before="60" w:after="60" w:line="240" w:lineRule="auto"/>
              <w:rPr>
                <w:rFonts w:asciiTheme="minorHAnsi" w:hAnsiTheme="minorHAnsi"/>
                <w:sz w:val="10"/>
                <w:szCs w:val="10"/>
                <w:lang w:val="es-ES_tradnl"/>
              </w:rPr>
            </w:pPr>
          </w:p>
          <w:p w:rsidR="00712BCA" w:rsidRDefault="00B043A2">
            <w:pPr>
              <w:spacing w:before="60" w:after="60" w:line="240" w:lineRule="auto"/>
              <w:rPr>
                <w:b/>
                <w:sz w:val="21"/>
                <w:szCs w:val="21"/>
                <w:lang w:val="es-CR"/>
              </w:rPr>
            </w:pPr>
            <w:r w:rsidRPr="00B043A2">
              <w:rPr>
                <w:rFonts w:asciiTheme="minorHAnsi" w:hAnsiTheme="minorHAnsi"/>
                <w:sz w:val="21"/>
                <w:szCs w:val="21"/>
                <w:lang w:val="es-ES_tradnl"/>
              </w:rPr>
              <w:t xml:space="preserve">Moderador: </w:t>
            </w:r>
            <w:r w:rsidRPr="00B043A2">
              <w:rPr>
                <w:rFonts w:asciiTheme="minorHAnsi" w:hAnsiTheme="minorHAnsi"/>
                <w:b/>
                <w:sz w:val="21"/>
                <w:szCs w:val="21"/>
                <w:lang w:val="es-ES_tradnl"/>
              </w:rPr>
              <w:t xml:space="preserve">Mario Castillo, </w:t>
            </w:r>
            <w:r w:rsidRPr="00B043A2">
              <w:rPr>
                <w:rFonts w:asciiTheme="minorHAnsi" w:hAnsiTheme="minorHAnsi"/>
                <w:sz w:val="21"/>
                <w:szCs w:val="21"/>
                <w:lang w:val="es-ES_tradnl"/>
              </w:rPr>
              <w:t>CEPAL</w:t>
            </w:r>
          </w:p>
        </w:tc>
      </w:tr>
      <w:tr w:rsidR="001F03F7" w:rsidRPr="00C20BB8" w:rsidTr="00D51A4A">
        <w:trPr>
          <w:gridAfter w:val="1"/>
          <w:wAfter w:w="4016" w:type="dxa"/>
          <w:trHeight w:val="254"/>
        </w:trPr>
        <w:tc>
          <w:tcPr>
            <w:tcW w:w="1418" w:type="dxa"/>
          </w:tcPr>
          <w:p w:rsidR="00712BCA" w:rsidRDefault="00712BCA">
            <w:pPr>
              <w:spacing w:before="60" w:after="60" w:line="240" w:lineRule="auto"/>
              <w:rPr>
                <w:sz w:val="21"/>
                <w:szCs w:val="21"/>
                <w:lang w:val="es-CR"/>
              </w:rPr>
            </w:pPr>
          </w:p>
        </w:tc>
        <w:tc>
          <w:tcPr>
            <w:tcW w:w="8080" w:type="dxa"/>
            <w:gridSpan w:val="3"/>
          </w:tcPr>
          <w:tbl>
            <w:tblPr>
              <w:tblW w:w="0" w:type="auto"/>
              <w:tblCellSpacing w:w="15" w:type="dxa"/>
              <w:tblCellMar>
                <w:top w:w="15" w:type="dxa"/>
                <w:left w:w="15" w:type="dxa"/>
                <w:bottom w:w="15" w:type="dxa"/>
                <w:right w:w="15" w:type="dxa"/>
              </w:tblCellMar>
              <w:tblLook w:val="04A0"/>
            </w:tblPr>
            <w:tblGrid>
              <w:gridCol w:w="1294"/>
            </w:tblGrid>
            <w:tr w:rsidR="000B6F34" w:rsidRPr="00F6236B" w:rsidTr="000B6F34">
              <w:trPr>
                <w:tblCellSpacing w:w="15" w:type="dxa"/>
              </w:trPr>
              <w:tc>
                <w:tcPr>
                  <w:tcW w:w="0" w:type="auto"/>
                  <w:hideMark/>
                </w:tcPr>
                <w:p w:rsidR="000B6F34" w:rsidRPr="000B6F34" w:rsidRDefault="00B043A2" w:rsidP="000B6F34">
                  <w:pPr>
                    <w:spacing w:after="0" w:line="240" w:lineRule="auto"/>
                    <w:rPr>
                      <w:rFonts w:ascii="Tahoma" w:eastAsia="Times New Roman" w:hAnsi="Tahoma" w:cs="Tahoma"/>
                      <w:sz w:val="16"/>
                      <w:szCs w:val="16"/>
                      <w:lang w:val="es-ES_tradnl"/>
                    </w:rPr>
                  </w:pPr>
                  <w:r w:rsidRPr="00B043A2">
                    <w:rPr>
                      <w:rFonts w:asciiTheme="minorHAnsi" w:hAnsiTheme="minorHAnsi"/>
                      <w:b/>
                      <w:sz w:val="21"/>
                      <w:szCs w:val="21"/>
                      <w:lang w:val="es-ES_tradnl"/>
                    </w:rPr>
                    <w:t xml:space="preserve">Participantes: </w:t>
                  </w:r>
                </w:p>
              </w:tc>
            </w:tr>
          </w:tbl>
          <w:p w:rsidR="00F6236B" w:rsidRPr="00F52A2F" w:rsidRDefault="00F6236B" w:rsidP="00F6236B">
            <w:pPr>
              <w:pStyle w:val="Prrafodelista"/>
              <w:numPr>
                <w:ilvl w:val="0"/>
                <w:numId w:val="18"/>
              </w:numPr>
              <w:spacing w:before="60" w:after="60" w:line="240" w:lineRule="auto"/>
              <w:contextualSpacing w:val="0"/>
              <w:rPr>
                <w:rFonts w:asciiTheme="minorHAnsi" w:eastAsiaTheme="minorHAnsi" w:hAnsiTheme="minorHAnsi" w:cs="Helv"/>
                <w:color w:val="000000"/>
                <w:spacing w:val="-2"/>
                <w:sz w:val="21"/>
                <w:szCs w:val="21"/>
                <w:lang w:val="es-ES_tradnl"/>
              </w:rPr>
            </w:pPr>
            <w:r w:rsidRPr="00F52A2F">
              <w:rPr>
                <w:rFonts w:asciiTheme="minorHAnsi" w:eastAsiaTheme="minorHAnsi" w:hAnsiTheme="minorHAnsi" w:cs="Helv"/>
                <w:b/>
                <w:bCs/>
                <w:color w:val="000000"/>
                <w:spacing w:val="-2"/>
                <w:sz w:val="21"/>
                <w:szCs w:val="21"/>
                <w:lang w:val="es-ES_tradnl"/>
              </w:rPr>
              <w:t xml:space="preserve">Jaime Soto, </w:t>
            </w:r>
            <w:r w:rsidRPr="00F52A2F">
              <w:rPr>
                <w:rFonts w:asciiTheme="minorHAnsi" w:eastAsiaTheme="minorHAnsi" w:hAnsiTheme="minorHAnsi" w:cs="Helv"/>
                <w:color w:val="000000"/>
                <w:spacing w:val="-2"/>
                <w:sz w:val="21"/>
                <w:szCs w:val="21"/>
                <w:lang w:val="es-ES_tradnl"/>
              </w:rPr>
              <w:t>Presidente de la Asociación Chilena de las empresas de Tecnología, ACTI</w:t>
            </w:r>
          </w:p>
          <w:p w:rsidR="00F6236B" w:rsidRPr="00F52A2F" w:rsidRDefault="00F6236B" w:rsidP="00F6236B">
            <w:pPr>
              <w:pStyle w:val="Prrafodelista"/>
              <w:numPr>
                <w:ilvl w:val="0"/>
                <w:numId w:val="18"/>
              </w:numPr>
              <w:spacing w:before="60" w:after="60" w:line="240" w:lineRule="auto"/>
              <w:contextualSpacing w:val="0"/>
              <w:rPr>
                <w:rFonts w:asciiTheme="minorHAnsi" w:eastAsiaTheme="minorHAnsi" w:hAnsiTheme="minorHAnsi" w:cs="Helv"/>
                <w:color w:val="000000"/>
                <w:sz w:val="21"/>
                <w:szCs w:val="21"/>
                <w:lang w:val="es-ES_tradnl"/>
              </w:rPr>
            </w:pPr>
            <w:r w:rsidRPr="00F52A2F">
              <w:rPr>
                <w:rFonts w:asciiTheme="minorHAnsi" w:eastAsiaTheme="minorHAnsi" w:hAnsiTheme="minorHAnsi" w:cs="Helv"/>
                <w:b/>
                <w:bCs/>
                <w:color w:val="000000"/>
                <w:sz w:val="21"/>
                <w:szCs w:val="21"/>
                <w:lang w:val="es-ES_tradnl"/>
              </w:rPr>
              <w:t>Marcel Vaillant</w:t>
            </w:r>
            <w:r w:rsidRPr="00F52A2F">
              <w:rPr>
                <w:rFonts w:asciiTheme="minorHAnsi" w:eastAsiaTheme="minorHAnsi" w:hAnsiTheme="minorHAnsi" w:cs="Helv"/>
                <w:color w:val="000000"/>
                <w:sz w:val="21"/>
                <w:szCs w:val="21"/>
                <w:lang w:val="es-ES_tradnl"/>
              </w:rPr>
              <w:t>, Profesor Comercio Internacional  en Departamento de Economía (FCS), Universidad de la Republica, Uruguay</w:t>
            </w:r>
          </w:p>
          <w:p w:rsidR="00F6236B" w:rsidRPr="00F52A2F" w:rsidRDefault="00F6236B" w:rsidP="00F6236B">
            <w:pPr>
              <w:pStyle w:val="Prrafodelista"/>
              <w:numPr>
                <w:ilvl w:val="0"/>
                <w:numId w:val="18"/>
              </w:numPr>
              <w:spacing w:before="60" w:after="60" w:line="240" w:lineRule="auto"/>
              <w:contextualSpacing w:val="0"/>
              <w:rPr>
                <w:rFonts w:asciiTheme="minorHAnsi" w:hAnsiTheme="minorHAnsi"/>
                <w:b/>
                <w:sz w:val="21"/>
                <w:szCs w:val="21"/>
                <w:lang w:val="es-ES_tradnl"/>
              </w:rPr>
            </w:pPr>
            <w:r w:rsidRPr="00F52A2F">
              <w:rPr>
                <w:rFonts w:asciiTheme="minorHAnsi" w:eastAsiaTheme="minorHAnsi" w:hAnsiTheme="minorHAnsi" w:cs="Helv"/>
                <w:b/>
                <w:bCs/>
                <w:color w:val="000000"/>
                <w:sz w:val="21"/>
                <w:szCs w:val="21"/>
                <w:lang w:val="es-ES_tradnl"/>
              </w:rPr>
              <w:t>Javier Peña</w:t>
            </w:r>
            <w:r w:rsidRPr="00F52A2F">
              <w:rPr>
                <w:rFonts w:asciiTheme="minorHAnsi" w:eastAsiaTheme="minorHAnsi" w:hAnsiTheme="minorHAnsi" w:cs="Helv"/>
                <w:color w:val="000000"/>
                <w:sz w:val="21"/>
                <w:szCs w:val="21"/>
                <w:lang w:val="es-ES_tradnl"/>
              </w:rPr>
              <w:t>, Secretario General de ALES - Asociación latinoamericana de exportadores de servicios, Uruguay</w:t>
            </w:r>
            <w:r w:rsidRPr="00F52A2F">
              <w:rPr>
                <w:rFonts w:asciiTheme="minorHAnsi" w:eastAsiaTheme="minorHAnsi" w:hAnsiTheme="minorHAnsi" w:cs="Tms Rmn"/>
                <w:color w:val="000000"/>
                <w:sz w:val="21"/>
                <w:szCs w:val="21"/>
                <w:lang w:val="es-ES_tradnl"/>
              </w:rPr>
              <w:t xml:space="preserve"> </w:t>
            </w:r>
          </w:p>
          <w:p w:rsidR="00F6236B" w:rsidRPr="00F52A2F" w:rsidRDefault="00F6236B" w:rsidP="00F6236B">
            <w:pPr>
              <w:pStyle w:val="Prrafodelista"/>
              <w:numPr>
                <w:ilvl w:val="0"/>
                <w:numId w:val="18"/>
              </w:numPr>
              <w:spacing w:before="60" w:after="60" w:line="240" w:lineRule="auto"/>
              <w:contextualSpacing w:val="0"/>
              <w:rPr>
                <w:rFonts w:asciiTheme="minorHAnsi" w:hAnsiTheme="minorHAnsi"/>
                <w:b/>
                <w:sz w:val="21"/>
                <w:szCs w:val="21"/>
                <w:lang w:val="es-ES_tradnl"/>
              </w:rPr>
            </w:pPr>
            <w:r w:rsidRPr="00F52A2F">
              <w:rPr>
                <w:rFonts w:asciiTheme="minorHAnsi" w:eastAsiaTheme="minorHAnsi" w:hAnsiTheme="minorHAnsi" w:cs="Helv"/>
                <w:b/>
                <w:bCs/>
                <w:color w:val="000000"/>
                <w:sz w:val="21"/>
                <w:szCs w:val="21"/>
                <w:lang w:val="es-ES_tradnl"/>
              </w:rPr>
              <w:t xml:space="preserve">Roberto Barriga, </w:t>
            </w:r>
            <w:r w:rsidRPr="00F52A2F">
              <w:rPr>
                <w:rFonts w:asciiTheme="minorHAnsi" w:eastAsiaTheme="minorHAnsi" w:hAnsiTheme="minorHAnsi" w:cs="Helv"/>
                <w:color w:val="000000"/>
                <w:sz w:val="21"/>
                <w:szCs w:val="21"/>
                <w:lang w:val="es-ES_tradnl"/>
              </w:rPr>
              <w:t>Director de Escuela Informática y Telecomunicaciones de DuocUC, Chile</w:t>
            </w:r>
          </w:p>
          <w:p w:rsidR="00F6236B" w:rsidRPr="00F52A2F" w:rsidRDefault="00F6236B" w:rsidP="00F6236B">
            <w:pPr>
              <w:pStyle w:val="Prrafodelista"/>
              <w:numPr>
                <w:ilvl w:val="0"/>
                <w:numId w:val="18"/>
              </w:numPr>
              <w:spacing w:before="60" w:after="60" w:line="240" w:lineRule="auto"/>
              <w:contextualSpacing w:val="0"/>
              <w:rPr>
                <w:rFonts w:asciiTheme="minorHAnsi" w:hAnsiTheme="minorHAnsi"/>
                <w:b/>
                <w:sz w:val="21"/>
                <w:szCs w:val="21"/>
                <w:lang w:val="es-ES_tradnl"/>
              </w:rPr>
            </w:pPr>
            <w:r w:rsidRPr="00F52A2F">
              <w:rPr>
                <w:rFonts w:asciiTheme="minorHAnsi" w:eastAsiaTheme="minorHAnsi" w:hAnsiTheme="minorHAnsi" w:cs="Tms Rmn"/>
                <w:color w:val="000000"/>
                <w:sz w:val="21"/>
                <w:szCs w:val="21"/>
                <w:lang w:val="es-ES_tradnl"/>
              </w:rPr>
              <w:t xml:space="preserve"> </w:t>
            </w:r>
            <w:r w:rsidRPr="00F52A2F">
              <w:rPr>
                <w:rFonts w:asciiTheme="minorHAnsi" w:eastAsiaTheme="minorHAnsi" w:hAnsiTheme="minorHAnsi" w:cs="Helv"/>
                <w:b/>
                <w:bCs/>
                <w:color w:val="000000"/>
                <w:sz w:val="21"/>
                <w:szCs w:val="21"/>
                <w:lang w:val="es-ES_tradnl"/>
              </w:rPr>
              <w:t>Franz Ruz</w:t>
            </w:r>
            <w:r w:rsidRPr="00F52A2F">
              <w:rPr>
                <w:rFonts w:asciiTheme="minorHAnsi" w:eastAsiaTheme="minorHAnsi" w:hAnsiTheme="minorHAnsi" w:cs="Helv"/>
                <w:color w:val="000000"/>
                <w:sz w:val="21"/>
                <w:szCs w:val="21"/>
                <w:lang w:val="es-ES_tradnl"/>
              </w:rPr>
              <w:t>, Socio Director del Área Legal de ROOTER (abogado experto en Propiedad Intelectual y Derecho de las Nuevas Tecnologías en Europa y América Latina)</w:t>
            </w:r>
            <w:r w:rsidRPr="00F52A2F">
              <w:rPr>
                <w:rFonts w:asciiTheme="minorHAnsi" w:eastAsiaTheme="minorHAnsi" w:hAnsiTheme="minorHAnsi" w:cs="Tms Rmn"/>
                <w:color w:val="000000"/>
                <w:sz w:val="21"/>
                <w:szCs w:val="21"/>
                <w:lang w:val="es-ES_tradnl"/>
              </w:rPr>
              <w:t xml:space="preserve"> </w:t>
            </w:r>
          </w:p>
          <w:p w:rsidR="00C20BB8" w:rsidRPr="00F52A2F" w:rsidRDefault="00F6236B" w:rsidP="00F6236B">
            <w:pPr>
              <w:pStyle w:val="Prrafodelista"/>
              <w:numPr>
                <w:ilvl w:val="0"/>
                <w:numId w:val="18"/>
              </w:numPr>
              <w:spacing w:before="60" w:after="60" w:line="240" w:lineRule="auto"/>
              <w:contextualSpacing w:val="0"/>
              <w:rPr>
                <w:rFonts w:asciiTheme="minorHAnsi" w:hAnsiTheme="minorHAnsi"/>
                <w:b/>
                <w:sz w:val="21"/>
                <w:szCs w:val="21"/>
                <w:lang w:val="es-ES_tradnl"/>
              </w:rPr>
            </w:pPr>
            <w:r w:rsidRPr="00F52A2F">
              <w:rPr>
                <w:rFonts w:asciiTheme="minorHAnsi" w:eastAsiaTheme="minorHAnsi" w:hAnsiTheme="minorHAnsi" w:cs="Helv"/>
                <w:b/>
                <w:bCs/>
                <w:color w:val="000000"/>
                <w:sz w:val="21"/>
                <w:szCs w:val="21"/>
                <w:lang w:val="es-ES_tradnl"/>
              </w:rPr>
              <w:t>Francisco Monge</w:t>
            </w:r>
            <w:r w:rsidRPr="00F52A2F">
              <w:rPr>
                <w:rFonts w:asciiTheme="minorHAnsi" w:eastAsiaTheme="minorHAnsi" w:hAnsiTheme="minorHAnsi" w:cs="Helv"/>
                <w:color w:val="000000"/>
                <w:sz w:val="21"/>
                <w:szCs w:val="21"/>
                <w:lang w:val="es-ES_tradnl"/>
              </w:rPr>
              <w:t>, Ministerio de Comercio Exterior, Costa Rica</w:t>
            </w:r>
            <w:r w:rsidRPr="00F52A2F">
              <w:rPr>
                <w:rFonts w:asciiTheme="minorHAnsi" w:eastAsiaTheme="minorHAnsi" w:hAnsiTheme="minorHAnsi" w:cs="Tms Rmn"/>
                <w:color w:val="000000"/>
                <w:sz w:val="21"/>
                <w:szCs w:val="21"/>
                <w:lang w:val="es-ES_tradnl"/>
              </w:rPr>
              <w:t xml:space="preserve"> </w:t>
            </w:r>
          </w:p>
          <w:p w:rsidR="00712BCA" w:rsidRPr="00C20BB8" w:rsidRDefault="00C20BB8" w:rsidP="00C20BB8">
            <w:pPr>
              <w:pStyle w:val="Prrafodelista"/>
              <w:numPr>
                <w:ilvl w:val="0"/>
                <w:numId w:val="18"/>
              </w:numPr>
              <w:spacing w:before="60" w:after="60" w:line="240" w:lineRule="auto"/>
              <w:contextualSpacing w:val="0"/>
              <w:rPr>
                <w:b/>
                <w:sz w:val="21"/>
                <w:szCs w:val="21"/>
              </w:rPr>
            </w:pPr>
            <w:r w:rsidRPr="00F52A2F">
              <w:rPr>
                <w:rFonts w:asciiTheme="minorHAnsi" w:hAnsiTheme="minorHAnsi"/>
                <w:b/>
                <w:sz w:val="21"/>
                <w:szCs w:val="21"/>
              </w:rPr>
              <w:t>Karina Fernandez-Stark</w:t>
            </w:r>
            <w:r w:rsidRPr="00F52A2F">
              <w:rPr>
                <w:rFonts w:asciiTheme="minorHAnsi" w:hAnsiTheme="minorHAnsi"/>
                <w:sz w:val="21"/>
                <w:szCs w:val="21"/>
              </w:rPr>
              <w:t>, Duke University</w:t>
            </w:r>
            <w:r w:rsidR="00F6236B" w:rsidRPr="00C20BB8">
              <w:rPr>
                <w:rFonts w:ascii="Tms Rmn" w:eastAsiaTheme="minorHAnsi" w:hAnsi="Tms Rmn" w:cs="Tms Rmn"/>
                <w:color w:val="000000"/>
                <w:sz w:val="24"/>
                <w:szCs w:val="24"/>
              </w:rPr>
              <w:br/>
            </w:r>
          </w:p>
        </w:tc>
      </w:tr>
      <w:tr w:rsidR="00CB074D" w:rsidRPr="00C73F70" w:rsidTr="00C73F70">
        <w:trPr>
          <w:gridAfter w:val="1"/>
          <w:wAfter w:w="4016" w:type="dxa"/>
          <w:trHeight w:val="254"/>
        </w:trPr>
        <w:tc>
          <w:tcPr>
            <w:tcW w:w="1418" w:type="dxa"/>
            <w:tcBorders>
              <w:bottom w:val="single" w:sz="4" w:space="0" w:color="auto"/>
            </w:tcBorders>
          </w:tcPr>
          <w:p w:rsidR="00712BCA" w:rsidRDefault="00B043A2">
            <w:pPr>
              <w:spacing w:before="60" w:after="60" w:line="240" w:lineRule="auto"/>
              <w:rPr>
                <w:sz w:val="21"/>
                <w:szCs w:val="21"/>
                <w:lang w:val="es-CR"/>
              </w:rPr>
            </w:pPr>
            <w:r w:rsidRPr="00B043A2">
              <w:rPr>
                <w:sz w:val="21"/>
                <w:szCs w:val="21"/>
                <w:lang w:val="es-CR"/>
              </w:rPr>
              <w:t>17:30 - 17:45</w:t>
            </w:r>
          </w:p>
        </w:tc>
        <w:tc>
          <w:tcPr>
            <w:tcW w:w="8080" w:type="dxa"/>
            <w:gridSpan w:val="3"/>
            <w:tcBorders>
              <w:bottom w:val="single" w:sz="4" w:space="0" w:color="auto"/>
            </w:tcBorders>
            <w:shd w:val="clear" w:color="auto" w:fill="F2F2F2" w:themeFill="background1" w:themeFillShade="F2"/>
          </w:tcPr>
          <w:p w:rsidR="00712BCA" w:rsidRDefault="00B043A2">
            <w:pPr>
              <w:spacing w:before="60" w:after="60" w:line="240" w:lineRule="auto"/>
              <w:jc w:val="both"/>
              <w:rPr>
                <w:rFonts w:asciiTheme="minorHAnsi" w:hAnsiTheme="minorHAnsi"/>
                <w:b/>
                <w:sz w:val="21"/>
                <w:szCs w:val="21"/>
                <w:lang w:val="es-ES_tradnl"/>
              </w:rPr>
            </w:pPr>
            <w:r w:rsidRPr="00B043A2">
              <w:rPr>
                <w:rFonts w:asciiTheme="minorHAnsi" w:hAnsiTheme="minorHAnsi"/>
                <w:b/>
                <w:i/>
                <w:color w:val="17365D" w:themeColor="text2" w:themeShade="BF"/>
                <w:sz w:val="21"/>
                <w:szCs w:val="21"/>
                <w:lang w:val="es-ES_tradnl"/>
              </w:rPr>
              <w:t>Palabras de cierre</w:t>
            </w:r>
            <w:r w:rsidRPr="00B043A2">
              <w:rPr>
                <w:rFonts w:asciiTheme="minorHAnsi" w:hAnsiTheme="minorHAnsi"/>
                <w:b/>
                <w:sz w:val="21"/>
                <w:szCs w:val="21"/>
                <w:lang w:val="es-ES_tradnl"/>
              </w:rPr>
              <w:t xml:space="preserve"> </w:t>
            </w:r>
          </w:p>
          <w:p w:rsidR="00712BCA" w:rsidRPr="00234AED" w:rsidRDefault="00234AED" w:rsidP="00234AED">
            <w:pPr>
              <w:spacing w:before="60" w:after="60" w:line="240" w:lineRule="auto"/>
              <w:jc w:val="both"/>
              <w:rPr>
                <w:sz w:val="21"/>
                <w:szCs w:val="21"/>
                <w:lang w:val="es-ES_tradnl"/>
              </w:rPr>
            </w:pPr>
            <w:r>
              <w:rPr>
                <w:b/>
                <w:sz w:val="21"/>
                <w:szCs w:val="21"/>
                <w:lang w:val="es-ES_tradnl"/>
              </w:rPr>
              <w:t xml:space="preserve">Ana Novik, </w:t>
            </w:r>
            <w:r>
              <w:rPr>
                <w:sz w:val="21"/>
                <w:szCs w:val="21"/>
                <w:lang w:val="es-ES_tradnl"/>
              </w:rPr>
              <w:t>Directora de Asuntos económicos multilaterales, DIRECON, Chile</w:t>
            </w:r>
          </w:p>
        </w:tc>
      </w:tr>
      <w:tr w:rsidR="00C73F70" w:rsidRPr="00C73F70" w:rsidTr="00C73F70">
        <w:trPr>
          <w:gridAfter w:val="1"/>
          <w:wAfter w:w="4016" w:type="dxa"/>
          <w:trHeight w:val="254"/>
        </w:trPr>
        <w:tc>
          <w:tcPr>
            <w:tcW w:w="1418" w:type="dxa"/>
            <w:shd w:val="clear" w:color="auto" w:fill="auto"/>
          </w:tcPr>
          <w:p w:rsidR="00C73F70" w:rsidRPr="00C73F70" w:rsidRDefault="00C73F70">
            <w:pPr>
              <w:spacing w:before="60" w:after="60" w:line="240" w:lineRule="auto"/>
              <w:rPr>
                <w:sz w:val="21"/>
                <w:szCs w:val="21"/>
                <w:lang w:val="es-CR"/>
              </w:rPr>
            </w:pPr>
            <w:r w:rsidRPr="00C73F70">
              <w:rPr>
                <w:sz w:val="21"/>
                <w:szCs w:val="21"/>
                <w:lang w:val="es-CR"/>
              </w:rPr>
              <w:t>18:00 – 19:00</w:t>
            </w:r>
          </w:p>
        </w:tc>
        <w:tc>
          <w:tcPr>
            <w:tcW w:w="8080" w:type="dxa"/>
            <w:gridSpan w:val="3"/>
            <w:shd w:val="clear" w:color="auto" w:fill="auto"/>
          </w:tcPr>
          <w:p w:rsidR="00C73F70" w:rsidRPr="00C73F70" w:rsidRDefault="00C73F70" w:rsidP="00C73F70">
            <w:pPr>
              <w:spacing w:before="60" w:after="60" w:line="240" w:lineRule="auto"/>
              <w:jc w:val="both"/>
              <w:rPr>
                <w:rFonts w:asciiTheme="minorHAnsi" w:hAnsiTheme="minorHAnsi"/>
                <w:b/>
                <w:i/>
                <w:color w:val="17365D" w:themeColor="text2" w:themeShade="BF"/>
                <w:sz w:val="21"/>
                <w:szCs w:val="21"/>
                <w:lang w:val="es-ES_tradnl"/>
              </w:rPr>
            </w:pPr>
            <w:r w:rsidRPr="00C73F70">
              <w:rPr>
                <w:rFonts w:asciiTheme="minorHAnsi" w:hAnsiTheme="minorHAnsi"/>
                <w:b/>
                <w:i/>
                <w:color w:val="17365D" w:themeColor="text2" w:themeShade="BF"/>
                <w:sz w:val="21"/>
                <w:szCs w:val="21"/>
                <w:lang w:val="es-ES_tradnl"/>
              </w:rPr>
              <w:t>Reunión abierta para los interesados en consolidar la Red Latinoamericana y del Caribe para la Investigación en Servicios (REDLAS)</w:t>
            </w:r>
          </w:p>
          <w:p w:rsidR="00C73F70" w:rsidRPr="00C73F70" w:rsidRDefault="00C73F70" w:rsidP="00C73F70">
            <w:pPr>
              <w:spacing w:before="60" w:after="60" w:line="240" w:lineRule="auto"/>
              <w:jc w:val="both"/>
              <w:rPr>
                <w:rFonts w:asciiTheme="minorHAnsi" w:hAnsiTheme="minorHAnsi"/>
                <w:color w:val="17365D" w:themeColor="text2" w:themeShade="BF"/>
                <w:sz w:val="21"/>
                <w:szCs w:val="21"/>
                <w:lang w:val="es-ES_tradnl"/>
              </w:rPr>
            </w:pPr>
            <w:r w:rsidRPr="00C73F70">
              <w:rPr>
                <w:rFonts w:asciiTheme="minorHAnsi" w:hAnsiTheme="minorHAnsi"/>
                <w:sz w:val="21"/>
                <w:szCs w:val="21"/>
                <w:lang w:val="es-ES_tradnl"/>
              </w:rPr>
              <w:t>(Sala Celso Furtado)</w:t>
            </w:r>
          </w:p>
        </w:tc>
      </w:tr>
    </w:tbl>
    <w:p w:rsidR="006C6960" w:rsidRPr="007167D8" w:rsidRDefault="006C6960" w:rsidP="006C6960">
      <w:pPr>
        <w:spacing w:after="0" w:line="240" w:lineRule="auto"/>
        <w:jc w:val="both"/>
        <w:rPr>
          <w:rFonts w:asciiTheme="minorHAnsi" w:hAnsiTheme="minorHAnsi"/>
          <w:lang w:val="es-ES_tradnl"/>
        </w:rPr>
      </w:pPr>
      <w:bookmarkStart w:id="0" w:name="_GoBack"/>
      <w:bookmarkEnd w:id="0"/>
    </w:p>
    <w:sectPr w:rsidR="006C6960" w:rsidRPr="007167D8" w:rsidSect="00D51A4A">
      <w:headerReference w:type="default" r:id="rId8"/>
      <w:footerReference w:type="default" r:id="rId9"/>
      <w:pgSz w:w="12240" w:h="15840"/>
      <w:pgMar w:top="1134" w:right="1361" w:bottom="1134" w:left="136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38C" w:rsidRDefault="0032338C" w:rsidP="00BA156C">
      <w:pPr>
        <w:spacing w:after="0" w:line="240" w:lineRule="auto"/>
      </w:pPr>
      <w:r>
        <w:separator/>
      </w:r>
    </w:p>
  </w:endnote>
  <w:endnote w:type="continuationSeparator" w:id="0">
    <w:p w:rsidR="0032338C" w:rsidRDefault="0032338C" w:rsidP="00BA15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Univers">
    <w:altName w:val="Arial"/>
    <w:panose1 w:val="020B0603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Helv">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85579"/>
      <w:docPartObj>
        <w:docPartGallery w:val="Page Numbers (Bottom of Page)"/>
        <w:docPartUnique/>
      </w:docPartObj>
    </w:sdtPr>
    <w:sdtContent>
      <w:p w:rsidR="00C73F70" w:rsidRDefault="002B4E25">
        <w:pPr>
          <w:pStyle w:val="Piedepgina"/>
          <w:jc w:val="right"/>
        </w:pPr>
        <w:fldSimple w:instr=" PAGE   \* MERGEFORMAT ">
          <w:r w:rsidR="003F5349">
            <w:rPr>
              <w:noProof/>
            </w:rPr>
            <w:t>6</w:t>
          </w:r>
        </w:fldSimple>
      </w:p>
    </w:sdtContent>
  </w:sd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58"/>
      <w:gridCol w:w="1439"/>
      <w:gridCol w:w="1559"/>
      <w:gridCol w:w="1887"/>
      <w:gridCol w:w="2991"/>
    </w:tblGrid>
    <w:tr w:rsidR="00C73F70" w:rsidTr="00C73F70">
      <w:tc>
        <w:tcPr>
          <w:tcW w:w="2046" w:type="dxa"/>
        </w:tcPr>
        <w:p w:rsidR="00C73F70" w:rsidRDefault="00C73F70" w:rsidP="00C73F70">
          <w:pPr>
            <w:pStyle w:val="Piedepgina"/>
            <w:jc w:val="center"/>
          </w:pPr>
          <w:r w:rsidRPr="006E132A">
            <w:rPr>
              <w:noProof/>
              <w:lang w:val="es-ES" w:eastAsia="es-ES"/>
            </w:rPr>
            <w:drawing>
              <wp:inline distT="0" distB="0" distL="0" distR="0">
                <wp:extent cx="1028700" cy="289056"/>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8700" cy="289056"/>
                        </a:xfrm>
                        <a:prstGeom prst="rect">
                          <a:avLst/>
                        </a:prstGeom>
                        <a:noFill/>
                        <a:ln>
                          <a:noFill/>
                        </a:ln>
                      </pic:spPr>
                    </pic:pic>
                  </a:graphicData>
                </a:graphic>
              </wp:inline>
            </w:drawing>
          </w:r>
        </w:p>
      </w:tc>
      <w:tc>
        <w:tcPr>
          <w:tcW w:w="1913" w:type="dxa"/>
        </w:tcPr>
        <w:p w:rsidR="00C73F70" w:rsidRDefault="00C73F70" w:rsidP="00C73F70">
          <w:pPr>
            <w:pStyle w:val="Piedepgina"/>
            <w:jc w:val="center"/>
          </w:pPr>
          <w:r w:rsidRPr="006E132A">
            <w:rPr>
              <w:noProof/>
              <w:lang w:val="es-ES" w:eastAsia="es-ES"/>
            </w:rPr>
            <w:drawing>
              <wp:inline distT="0" distB="0" distL="0" distR="0">
                <wp:extent cx="762000" cy="272143"/>
                <wp:effectExtent l="19050" t="0" r="0" b="0"/>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0" cy="272143"/>
                        </a:xfrm>
                        <a:prstGeom prst="rect">
                          <a:avLst/>
                        </a:prstGeom>
                        <a:noFill/>
                        <a:ln>
                          <a:noFill/>
                        </a:ln>
                      </pic:spPr>
                    </pic:pic>
                  </a:graphicData>
                </a:graphic>
              </wp:inline>
            </w:drawing>
          </w:r>
        </w:p>
      </w:tc>
      <w:tc>
        <w:tcPr>
          <w:tcW w:w="1956" w:type="dxa"/>
        </w:tcPr>
        <w:p w:rsidR="00C73F70" w:rsidRDefault="00C73F70" w:rsidP="00C73F70">
          <w:pPr>
            <w:pStyle w:val="Piedepgina"/>
            <w:jc w:val="center"/>
          </w:pPr>
          <w:r w:rsidRPr="006E132A">
            <w:rPr>
              <w:noProof/>
              <w:lang w:val="es-ES" w:eastAsia="es-ES"/>
            </w:rPr>
            <w:drawing>
              <wp:inline distT="0" distB="0" distL="0" distR="0">
                <wp:extent cx="828675" cy="300038"/>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8675" cy="300038"/>
                        </a:xfrm>
                        <a:prstGeom prst="rect">
                          <a:avLst/>
                        </a:prstGeom>
                        <a:noFill/>
                        <a:ln>
                          <a:noFill/>
                        </a:ln>
                      </pic:spPr>
                    </pic:pic>
                  </a:graphicData>
                </a:graphic>
              </wp:inline>
            </w:drawing>
          </w:r>
        </w:p>
      </w:tc>
      <w:tc>
        <w:tcPr>
          <w:tcW w:w="1815" w:type="dxa"/>
        </w:tcPr>
        <w:p w:rsidR="00C73F70" w:rsidRDefault="00C73F70" w:rsidP="00C73F70">
          <w:pPr>
            <w:pStyle w:val="Piedepgina"/>
            <w:jc w:val="center"/>
          </w:pPr>
          <w:r>
            <w:rPr>
              <w:noProof/>
              <w:lang w:val="es-ES" w:eastAsia="es-ES"/>
            </w:rPr>
            <w:drawing>
              <wp:inline distT="0" distB="0" distL="0" distR="0">
                <wp:extent cx="1047750" cy="400050"/>
                <wp:effectExtent l="19050" t="0" r="0" b="0"/>
                <wp:docPr id="2" name="Picture 2" descr="C:\Documents and Settings\jmulder\Local Settings\Temp\ARC181\spanisch\BMZ_C_M_e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jmulder\Local Settings\Temp\ARC181\spanisch\BMZ_C_M_es.bmp"/>
                        <pic:cNvPicPr>
                          <a:picLocks noChangeAspect="1" noChangeArrowheads="1"/>
                        </pic:cNvPicPr>
                      </pic:nvPicPr>
                      <pic:blipFill>
                        <a:blip r:embed="rId4"/>
                        <a:srcRect l="9118" t="14035" r="7295" b="12281"/>
                        <a:stretch>
                          <a:fillRect/>
                        </a:stretch>
                      </pic:blipFill>
                      <pic:spPr bwMode="auto">
                        <a:xfrm>
                          <a:off x="0" y="0"/>
                          <a:ext cx="1047750" cy="400050"/>
                        </a:xfrm>
                        <a:prstGeom prst="rect">
                          <a:avLst/>
                        </a:prstGeom>
                        <a:noFill/>
                        <a:ln w="9525">
                          <a:noFill/>
                          <a:miter lim="800000"/>
                          <a:headEnd/>
                          <a:tailEnd/>
                        </a:ln>
                      </pic:spPr>
                    </pic:pic>
                  </a:graphicData>
                </a:graphic>
              </wp:inline>
            </w:drawing>
          </w:r>
        </w:p>
      </w:tc>
      <w:tc>
        <w:tcPr>
          <w:tcW w:w="1846" w:type="dxa"/>
        </w:tcPr>
        <w:p w:rsidR="00C73F70" w:rsidRDefault="00C73F70" w:rsidP="00C73F70">
          <w:pPr>
            <w:pStyle w:val="Piedepgina"/>
            <w:jc w:val="center"/>
          </w:pPr>
          <w:r>
            <w:rPr>
              <w:noProof/>
              <w:lang w:val="es-ES" w:eastAsia="es-ES"/>
            </w:rPr>
            <w:drawing>
              <wp:inline distT="0" distB="0" distL="0" distR="0">
                <wp:extent cx="1752600" cy="3571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752600" cy="357165"/>
                        </a:xfrm>
                        <a:prstGeom prst="rect">
                          <a:avLst/>
                        </a:prstGeom>
                        <a:noFill/>
                        <a:ln w="9525">
                          <a:noFill/>
                          <a:miter lim="800000"/>
                          <a:headEnd/>
                          <a:tailEnd/>
                        </a:ln>
                      </pic:spPr>
                    </pic:pic>
                  </a:graphicData>
                </a:graphic>
              </wp:inline>
            </w:drawing>
          </w:r>
        </w:p>
      </w:tc>
    </w:tr>
  </w:tbl>
  <w:p w:rsidR="00C73F70" w:rsidRDefault="00C73F7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38C" w:rsidRDefault="0032338C" w:rsidP="00BA156C">
      <w:pPr>
        <w:spacing w:after="0" w:line="240" w:lineRule="auto"/>
      </w:pPr>
      <w:r>
        <w:separator/>
      </w:r>
    </w:p>
  </w:footnote>
  <w:footnote w:type="continuationSeparator" w:id="0">
    <w:p w:rsidR="0032338C" w:rsidRDefault="0032338C" w:rsidP="00BA15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jc w:val="center"/>
      <w:tblInd w:w="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8"/>
      <w:gridCol w:w="2360"/>
      <w:gridCol w:w="2376"/>
      <w:gridCol w:w="2411"/>
    </w:tblGrid>
    <w:tr w:rsidR="00C73F70" w:rsidTr="00224257">
      <w:trPr>
        <w:jc w:val="center"/>
      </w:trPr>
      <w:tc>
        <w:tcPr>
          <w:tcW w:w="2238" w:type="dxa"/>
        </w:tcPr>
        <w:p w:rsidR="00C73F70" w:rsidRDefault="00C73F70" w:rsidP="00635E76">
          <w:pPr>
            <w:pStyle w:val="Encabezado"/>
            <w:jc w:val="center"/>
          </w:pPr>
          <w:r w:rsidRPr="00BA156C">
            <w:rPr>
              <w:noProof/>
              <w:lang w:val="es-ES" w:eastAsia="es-ES"/>
            </w:rPr>
            <w:drawing>
              <wp:inline distT="0" distB="0" distL="0" distR="0">
                <wp:extent cx="733425" cy="885825"/>
                <wp:effectExtent l="0" t="0" r="9525" b="952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3425" cy="885825"/>
                        </a:xfrm>
                        <a:prstGeom prst="rect">
                          <a:avLst/>
                        </a:prstGeom>
                        <a:noFill/>
                        <a:ln>
                          <a:noFill/>
                        </a:ln>
                      </pic:spPr>
                    </pic:pic>
                  </a:graphicData>
                </a:graphic>
              </wp:inline>
            </w:drawing>
          </w:r>
        </w:p>
      </w:tc>
      <w:tc>
        <w:tcPr>
          <w:tcW w:w="2360" w:type="dxa"/>
        </w:tcPr>
        <w:p w:rsidR="00C73F70" w:rsidRDefault="00C73F70" w:rsidP="00635E76">
          <w:pPr>
            <w:pStyle w:val="Encabezado"/>
            <w:jc w:val="center"/>
          </w:pPr>
          <w:r w:rsidRPr="00BA156C">
            <w:rPr>
              <w:noProof/>
              <w:lang w:val="es-ES" w:eastAsia="es-ES"/>
            </w:rPr>
            <w:drawing>
              <wp:inline distT="0" distB="0" distL="0" distR="0">
                <wp:extent cx="406531" cy="876300"/>
                <wp:effectExtent l="1905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6531" cy="876300"/>
                        </a:xfrm>
                        <a:prstGeom prst="rect">
                          <a:avLst/>
                        </a:prstGeom>
                        <a:noFill/>
                        <a:ln>
                          <a:noFill/>
                        </a:ln>
                      </pic:spPr>
                    </pic:pic>
                  </a:graphicData>
                </a:graphic>
              </wp:inline>
            </w:drawing>
          </w:r>
        </w:p>
      </w:tc>
      <w:tc>
        <w:tcPr>
          <w:tcW w:w="2376" w:type="dxa"/>
        </w:tcPr>
        <w:p w:rsidR="00C73F70" w:rsidRDefault="00C73F70" w:rsidP="00635E76">
          <w:pPr>
            <w:pStyle w:val="Encabezado"/>
            <w:spacing w:before="240"/>
            <w:jc w:val="center"/>
          </w:pPr>
          <w:r w:rsidRPr="00BA156C">
            <w:rPr>
              <w:noProof/>
              <w:lang w:val="es-ES" w:eastAsia="es-ES"/>
            </w:rPr>
            <w:drawing>
              <wp:inline distT="0" distB="0" distL="0" distR="0">
                <wp:extent cx="712733" cy="666750"/>
                <wp:effectExtent l="19050" t="0" r="0" b="0"/>
                <wp:docPr id="5" name="il_fi" descr="http://www.wto.org/images/img_train/chairs_prog_logo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wto.org/images/img_train/chairs_prog_logo_e.jpg"/>
                        <pic:cNvPicPr>
                          <a:picLocks noChangeAspect="1" noChangeArrowheads="1"/>
                        </pic:cNvPicPr>
                      </pic:nvPicPr>
                      <pic:blipFill>
                        <a:blip r:embed="rId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2733" cy="666750"/>
                        </a:xfrm>
                        <a:prstGeom prst="rect">
                          <a:avLst/>
                        </a:prstGeom>
                        <a:noFill/>
                        <a:ln>
                          <a:noFill/>
                        </a:ln>
                      </pic:spPr>
                    </pic:pic>
                  </a:graphicData>
                </a:graphic>
              </wp:inline>
            </w:drawing>
          </w:r>
        </w:p>
      </w:tc>
      <w:tc>
        <w:tcPr>
          <w:tcW w:w="2411" w:type="dxa"/>
        </w:tcPr>
        <w:p w:rsidR="00C73F70" w:rsidRDefault="00C73F70" w:rsidP="00635E76">
          <w:pPr>
            <w:pStyle w:val="Encabezado"/>
            <w:spacing w:before="360"/>
            <w:jc w:val="center"/>
          </w:pPr>
          <w:r w:rsidRPr="00BA156C">
            <w:rPr>
              <w:noProof/>
              <w:lang w:val="es-ES" w:eastAsia="es-ES"/>
            </w:rPr>
            <w:drawing>
              <wp:inline distT="0" distB="0" distL="0" distR="0">
                <wp:extent cx="1276350" cy="516869"/>
                <wp:effectExtent l="19050" t="0" r="0" b="0"/>
                <wp:docPr id="6" name="il_fi" descr="http://www.unitar.org/pft/sites/unitar.org.pft/files/wti_logo-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unitar.org/pft/sites/unitar.org.pft/files/wti_logo-new.jp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7758" cy="517439"/>
                        </a:xfrm>
                        <a:prstGeom prst="rect">
                          <a:avLst/>
                        </a:prstGeom>
                        <a:noFill/>
                        <a:ln>
                          <a:noFill/>
                        </a:ln>
                      </pic:spPr>
                    </pic:pic>
                  </a:graphicData>
                </a:graphic>
              </wp:inline>
            </w:drawing>
          </w:r>
        </w:p>
      </w:tc>
    </w:tr>
  </w:tbl>
  <w:p w:rsidR="00C73F70" w:rsidRDefault="00C73F7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6E8E"/>
    <w:multiLevelType w:val="hybridMultilevel"/>
    <w:tmpl w:val="60367E32"/>
    <w:lvl w:ilvl="0" w:tplc="0409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35A4015"/>
    <w:multiLevelType w:val="hybridMultilevel"/>
    <w:tmpl w:val="4380D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51628F1"/>
    <w:multiLevelType w:val="hybridMultilevel"/>
    <w:tmpl w:val="4D0C5A14"/>
    <w:lvl w:ilvl="0" w:tplc="0C0A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F654AB"/>
    <w:multiLevelType w:val="hybridMultilevel"/>
    <w:tmpl w:val="D58CD8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E706C1F"/>
    <w:multiLevelType w:val="hybridMultilevel"/>
    <w:tmpl w:val="7CA68A20"/>
    <w:lvl w:ilvl="0" w:tplc="0C0A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EDB4BC6"/>
    <w:multiLevelType w:val="hybridMultilevel"/>
    <w:tmpl w:val="4692D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FA87619"/>
    <w:multiLevelType w:val="hybridMultilevel"/>
    <w:tmpl w:val="FDDC8F62"/>
    <w:lvl w:ilvl="0" w:tplc="0C0A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1E31808"/>
    <w:multiLevelType w:val="hybridMultilevel"/>
    <w:tmpl w:val="5C64CBA8"/>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8">
    <w:nsid w:val="3A952C76"/>
    <w:multiLevelType w:val="hybridMultilevel"/>
    <w:tmpl w:val="DD408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AA543D"/>
    <w:multiLevelType w:val="hybridMultilevel"/>
    <w:tmpl w:val="E786BE04"/>
    <w:lvl w:ilvl="0" w:tplc="04090001">
      <w:start w:val="1"/>
      <w:numFmt w:val="bullet"/>
      <w:lvlText w:val=""/>
      <w:lvlJc w:val="left"/>
      <w:pPr>
        <w:ind w:left="364" w:hanging="360"/>
      </w:pPr>
      <w:rPr>
        <w:rFonts w:ascii="Symbol" w:hAnsi="Symbol"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10">
    <w:nsid w:val="4D6432DB"/>
    <w:multiLevelType w:val="hybridMultilevel"/>
    <w:tmpl w:val="664CFD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05D4329"/>
    <w:multiLevelType w:val="hybridMultilevel"/>
    <w:tmpl w:val="9D02C850"/>
    <w:lvl w:ilvl="0" w:tplc="0C0A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CF86365"/>
    <w:multiLevelType w:val="hybridMultilevel"/>
    <w:tmpl w:val="1F1A6ED2"/>
    <w:lvl w:ilvl="0" w:tplc="23887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B57248B"/>
    <w:multiLevelType w:val="hybridMultilevel"/>
    <w:tmpl w:val="5ED0C0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FBA70C9"/>
    <w:multiLevelType w:val="hybridMultilevel"/>
    <w:tmpl w:val="4D0C5A14"/>
    <w:lvl w:ilvl="0" w:tplc="0C0A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4C335EB"/>
    <w:multiLevelType w:val="hybridMultilevel"/>
    <w:tmpl w:val="CFFA1F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AF55508"/>
    <w:multiLevelType w:val="hybridMultilevel"/>
    <w:tmpl w:val="B76666D0"/>
    <w:lvl w:ilvl="0" w:tplc="39942D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C6C1E97"/>
    <w:multiLevelType w:val="hybridMultilevel"/>
    <w:tmpl w:val="7110E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1"/>
  </w:num>
  <w:num w:numId="4">
    <w:abstractNumId w:val="10"/>
  </w:num>
  <w:num w:numId="5">
    <w:abstractNumId w:val="6"/>
  </w:num>
  <w:num w:numId="6">
    <w:abstractNumId w:val="4"/>
  </w:num>
  <w:num w:numId="7">
    <w:abstractNumId w:val="14"/>
  </w:num>
  <w:num w:numId="8">
    <w:abstractNumId w:val="1"/>
  </w:num>
  <w:num w:numId="9">
    <w:abstractNumId w:val="2"/>
  </w:num>
  <w:num w:numId="10">
    <w:abstractNumId w:val="13"/>
  </w:num>
  <w:num w:numId="11">
    <w:abstractNumId w:val="5"/>
  </w:num>
  <w:num w:numId="12">
    <w:abstractNumId w:val="16"/>
  </w:num>
  <w:num w:numId="13">
    <w:abstractNumId w:val="0"/>
  </w:num>
  <w:num w:numId="14">
    <w:abstractNumId w:val="17"/>
  </w:num>
  <w:num w:numId="15">
    <w:abstractNumId w:val="8"/>
  </w:num>
  <w:num w:numId="16">
    <w:abstractNumId w:val="15"/>
  </w:num>
  <w:num w:numId="17">
    <w:abstractNumId w:val="9"/>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oNotTrackFormatting/>
  <w:defaultTabStop w:val="720"/>
  <w:hyphenationZone w:val="425"/>
  <w:characterSpacingControl w:val="doNotCompress"/>
  <w:hdrShapeDefaults>
    <o:shapedefaults v:ext="edit" spidmax="55298"/>
  </w:hdrShapeDefaults>
  <w:footnotePr>
    <w:footnote w:id="-1"/>
    <w:footnote w:id="0"/>
  </w:footnotePr>
  <w:endnotePr>
    <w:endnote w:id="-1"/>
    <w:endnote w:id="0"/>
  </w:endnotePr>
  <w:compat/>
  <w:rsids>
    <w:rsidRoot w:val="00BA156C"/>
    <w:rsid w:val="00007122"/>
    <w:rsid w:val="000216D1"/>
    <w:rsid w:val="000218E3"/>
    <w:rsid w:val="000269B0"/>
    <w:rsid w:val="00034039"/>
    <w:rsid w:val="000407FB"/>
    <w:rsid w:val="000463AB"/>
    <w:rsid w:val="00051D1A"/>
    <w:rsid w:val="000545B7"/>
    <w:rsid w:val="000671CF"/>
    <w:rsid w:val="00082F44"/>
    <w:rsid w:val="0008465F"/>
    <w:rsid w:val="00084BA6"/>
    <w:rsid w:val="000B5053"/>
    <w:rsid w:val="000B6F34"/>
    <w:rsid w:val="000C02CC"/>
    <w:rsid w:val="000C37AE"/>
    <w:rsid w:val="000C6A7B"/>
    <w:rsid w:val="000E4B03"/>
    <w:rsid w:val="000F3C14"/>
    <w:rsid w:val="000F545A"/>
    <w:rsid w:val="001036A4"/>
    <w:rsid w:val="0010593D"/>
    <w:rsid w:val="0010627E"/>
    <w:rsid w:val="00114527"/>
    <w:rsid w:val="001267B8"/>
    <w:rsid w:val="00126C58"/>
    <w:rsid w:val="001309CE"/>
    <w:rsid w:val="0015769D"/>
    <w:rsid w:val="001820A7"/>
    <w:rsid w:val="001B58FE"/>
    <w:rsid w:val="001C23F2"/>
    <w:rsid w:val="001D1DAA"/>
    <w:rsid w:val="001D2FB5"/>
    <w:rsid w:val="001F03F7"/>
    <w:rsid w:val="00224257"/>
    <w:rsid w:val="00234AED"/>
    <w:rsid w:val="00250F49"/>
    <w:rsid w:val="002623FE"/>
    <w:rsid w:val="002665A4"/>
    <w:rsid w:val="00266B00"/>
    <w:rsid w:val="002742EB"/>
    <w:rsid w:val="00274615"/>
    <w:rsid w:val="00274FA6"/>
    <w:rsid w:val="002B0058"/>
    <w:rsid w:val="002B0BCE"/>
    <w:rsid w:val="002B4E25"/>
    <w:rsid w:val="002C34D6"/>
    <w:rsid w:val="002C4EF7"/>
    <w:rsid w:val="002D7275"/>
    <w:rsid w:val="002E418A"/>
    <w:rsid w:val="002F610B"/>
    <w:rsid w:val="00304578"/>
    <w:rsid w:val="0030689F"/>
    <w:rsid w:val="00314AAD"/>
    <w:rsid w:val="0032338C"/>
    <w:rsid w:val="003369B2"/>
    <w:rsid w:val="0033781C"/>
    <w:rsid w:val="00343E54"/>
    <w:rsid w:val="00365674"/>
    <w:rsid w:val="00373B22"/>
    <w:rsid w:val="00376E02"/>
    <w:rsid w:val="00382177"/>
    <w:rsid w:val="00391072"/>
    <w:rsid w:val="003B1956"/>
    <w:rsid w:val="003D21A9"/>
    <w:rsid w:val="003D5A27"/>
    <w:rsid w:val="003E48D7"/>
    <w:rsid w:val="003F5349"/>
    <w:rsid w:val="0041166D"/>
    <w:rsid w:val="004211E4"/>
    <w:rsid w:val="00437EEF"/>
    <w:rsid w:val="004432E1"/>
    <w:rsid w:val="00445F38"/>
    <w:rsid w:val="00450D07"/>
    <w:rsid w:val="004642CE"/>
    <w:rsid w:val="00475528"/>
    <w:rsid w:val="004846BE"/>
    <w:rsid w:val="004C2167"/>
    <w:rsid w:val="004D0716"/>
    <w:rsid w:val="00513705"/>
    <w:rsid w:val="00525EE0"/>
    <w:rsid w:val="005279C9"/>
    <w:rsid w:val="00537451"/>
    <w:rsid w:val="00544A6C"/>
    <w:rsid w:val="0054571A"/>
    <w:rsid w:val="00554B1A"/>
    <w:rsid w:val="00563E32"/>
    <w:rsid w:val="0058021D"/>
    <w:rsid w:val="00580753"/>
    <w:rsid w:val="0058737C"/>
    <w:rsid w:val="00587544"/>
    <w:rsid w:val="005A3896"/>
    <w:rsid w:val="005A5EDC"/>
    <w:rsid w:val="005A6F76"/>
    <w:rsid w:val="005D1714"/>
    <w:rsid w:val="005E3508"/>
    <w:rsid w:val="005E4B08"/>
    <w:rsid w:val="005E4F06"/>
    <w:rsid w:val="005F65CF"/>
    <w:rsid w:val="00602154"/>
    <w:rsid w:val="006038C9"/>
    <w:rsid w:val="006254D0"/>
    <w:rsid w:val="0062597E"/>
    <w:rsid w:val="00626A31"/>
    <w:rsid w:val="00627A28"/>
    <w:rsid w:val="00627A3A"/>
    <w:rsid w:val="00633256"/>
    <w:rsid w:val="00635E76"/>
    <w:rsid w:val="00660685"/>
    <w:rsid w:val="00665886"/>
    <w:rsid w:val="00665DB4"/>
    <w:rsid w:val="00671A99"/>
    <w:rsid w:val="00684896"/>
    <w:rsid w:val="006910BC"/>
    <w:rsid w:val="006A1232"/>
    <w:rsid w:val="006B3D95"/>
    <w:rsid w:val="006C6960"/>
    <w:rsid w:val="006E132A"/>
    <w:rsid w:val="006F6265"/>
    <w:rsid w:val="00712BCA"/>
    <w:rsid w:val="00716684"/>
    <w:rsid w:val="007167D8"/>
    <w:rsid w:val="00733DBA"/>
    <w:rsid w:val="00744419"/>
    <w:rsid w:val="00764B70"/>
    <w:rsid w:val="00775849"/>
    <w:rsid w:val="00781794"/>
    <w:rsid w:val="007A22F1"/>
    <w:rsid w:val="007A7F71"/>
    <w:rsid w:val="007B6262"/>
    <w:rsid w:val="007B7E56"/>
    <w:rsid w:val="007C79CF"/>
    <w:rsid w:val="007F1599"/>
    <w:rsid w:val="007F3A0C"/>
    <w:rsid w:val="008050F3"/>
    <w:rsid w:val="00812370"/>
    <w:rsid w:val="00823597"/>
    <w:rsid w:val="00831019"/>
    <w:rsid w:val="00836C96"/>
    <w:rsid w:val="008405ED"/>
    <w:rsid w:val="00842A73"/>
    <w:rsid w:val="0085258C"/>
    <w:rsid w:val="00854CF4"/>
    <w:rsid w:val="008605F7"/>
    <w:rsid w:val="00862943"/>
    <w:rsid w:val="008915A7"/>
    <w:rsid w:val="008A08FB"/>
    <w:rsid w:val="008B10CB"/>
    <w:rsid w:val="008B36D1"/>
    <w:rsid w:val="008B530B"/>
    <w:rsid w:val="008B5966"/>
    <w:rsid w:val="008D640F"/>
    <w:rsid w:val="008E7CBD"/>
    <w:rsid w:val="00904724"/>
    <w:rsid w:val="00913591"/>
    <w:rsid w:val="00936B00"/>
    <w:rsid w:val="009401FF"/>
    <w:rsid w:val="009459F5"/>
    <w:rsid w:val="00951AE5"/>
    <w:rsid w:val="00961790"/>
    <w:rsid w:val="009702D6"/>
    <w:rsid w:val="009775EB"/>
    <w:rsid w:val="009923F6"/>
    <w:rsid w:val="009970C7"/>
    <w:rsid w:val="009A0ABF"/>
    <w:rsid w:val="009A22DB"/>
    <w:rsid w:val="009A235A"/>
    <w:rsid w:val="009A6CB3"/>
    <w:rsid w:val="009B11EE"/>
    <w:rsid w:val="009B2777"/>
    <w:rsid w:val="009E1D4A"/>
    <w:rsid w:val="00A02197"/>
    <w:rsid w:val="00A34AEF"/>
    <w:rsid w:val="00A51AAD"/>
    <w:rsid w:val="00A51DBE"/>
    <w:rsid w:val="00A56EEC"/>
    <w:rsid w:val="00A576C1"/>
    <w:rsid w:val="00A6160A"/>
    <w:rsid w:val="00A645F2"/>
    <w:rsid w:val="00A64E81"/>
    <w:rsid w:val="00A70302"/>
    <w:rsid w:val="00A82A1C"/>
    <w:rsid w:val="00A83DAB"/>
    <w:rsid w:val="00A86AA6"/>
    <w:rsid w:val="00A96BFF"/>
    <w:rsid w:val="00A96F68"/>
    <w:rsid w:val="00AB6F6C"/>
    <w:rsid w:val="00AF5638"/>
    <w:rsid w:val="00AF6DF1"/>
    <w:rsid w:val="00B0050F"/>
    <w:rsid w:val="00B043A2"/>
    <w:rsid w:val="00B13D7D"/>
    <w:rsid w:val="00B2228F"/>
    <w:rsid w:val="00B23106"/>
    <w:rsid w:val="00B27680"/>
    <w:rsid w:val="00B4050E"/>
    <w:rsid w:val="00B44063"/>
    <w:rsid w:val="00B601D4"/>
    <w:rsid w:val="00B665DA"/>
    <w:rsid w:val="00B66D69"/>
    <w:rsid w:val="00B709EB"/>
    <w:rsid w:val="00B76C97"/>
    <w:rsid w:val="00B87963"/>
    <w:rsid w:val="00BA156C"/>
    <w:rsid w:val="00BA743D"/>
    <w:rsid w:val="00BC757D"/>
    <w:rsid w:val="00BD3493"/>
    <w:rsid w:val="00BF095F"/>
    <w:rsid w:val="00BF667B"/>
    <w:rsid w:val="00C013B8"/>
    <w:rsid w:val="00C01A12"/>
    <w:rsid w:val="00C13770"/>
    <w:rsid w:val="00C20BB8"/>
    <w:rsid w:val="00C62A0D"/>
    <w:rsid w:val="00C73F70"/>
    <w:rsid w:val="00CA613A"/>
    <w:rsid w:val="00CB074D"/>
    <w:rsid w:val="00CB35B8"/>
    <w:rsid w:val="00CB4C70"/>
    <w:rsid w:val="00CD018E"/>
    <w:rsid w:val="00CD170D"/>
    <w:rsid w:val="00CD6C99"/>
    <w:rsid w:val="00CE3770"/>
    <w:rsid w:val="00D05075"/>
    <w:rsid w:val="00D12877"/>
    <w:rsid w:val="00D17C89"/>
    <w:rsid w:val="00D24230"/>
    <w:rsid w:val="00D25131"/>
    <w:rsid w:val="00D51A4A"/>
    <w:rsid w:val="00D529A1"/>
    <w:rsid w:val="00D57375"/>
    <w:rsid w:val="00D645E8"/>
    <w:rsid w:val="00D73846"/>
    <w:rsid w:val="00D82794"/>
    <w:rsid w:val="00D906F1"/>
    <w:rsid w:val="00DB019E"/>
    <w:rsid w:val="00DE2F62"/>
    <w:rsid w:val="00DE50D2"/>
    <w:rsid w:val="00E013E3"/>
    <w:rsid w:val="00E05F34"/>
    <w:rsid w:val="00E07F1B"/>
    <w:rsid w:val="00E25F70"/>
    <w:rsid w:val="00E425A8"/>
    <w:rsid w:val="00E7031A"/>
    <w:rsid w:val="00E717A0"/>
    <w:rsid w:val="00E73F8C"/>
    <w:rsid w:val="00E76DC8"/>
    <w:rsid w:val="00E85D73"/>
    <w:rsid w:val="00E90570"/>
    <w:rsid w:val="00E92A66"/>
    <w:rsid w:val="00E95071"/>
    <w:rsid w:val="00EA2257"/>
    <w:rsid w:val="00EA7687"/>
    <w:rsid w:val="00EB0949"/>
    <w:rsid w:val="00EC3553"/>
    <w:rsid w:val="00ED7D3D"/>
    <w:rsid w:val="00EF10C8"/>
    <w:rsid w:val="00F22A47"/>
    <w:rsid w:val="00F24A75"/>
    <w:rsid w:val="00F2686F"/>
    <w:rsid w:val="00F42842"/>
    <w:rsid w:val="00F46879"/>
    <w:rsid w:val="00F50B2D"/>
    <w:rsid w:val="00F52A2F"/>
    <w:rsid w:val="00F560C3"/>
    <w:rsid w:val="00F6236B"/>
    <w:rsid w:val="00F72D46"/>
    <w:rsid w:val="00F76C7B"/>
    <w:rsid w:val="00F84E94"/>
    <w:rsid w:val="00F91DDB"/>
    <w:rsid w:val="00FA3E2E"/>
    <w:rsid w:val="00FB0801"/>
    <w:rsid w:val="00FC08D8"/>
    <w:rsid w:val="00FC3A12"/>
    <w:rsid w:val="00FC6780"/>
    <w:rsid w:val="00FD07EB"/>
    <w:rsid w:val="00FD3C44"/>
    <w:rsid w:val="00FE3F75"/>
    <w:rsid w:val="00FF3EB4"/>
    <w:rsid w:val="00FF668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32A"/>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156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A156C"/>
  </w:style>
  <w:style w:type="paragraph" w:styleId="Piedepgina">
    <w:name w:val="footer"/>
    <w:basedOn w:val="Normal"/>
    <w:link w:val="PiedepginaCar"/>
    <w:uiPriority w:val="99"/>
    <w:unhideWhenUsed/>
    <w:rsid w:val="00BA156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A156C"/>
  </w:style>
  <w:style w:type="paragraph" w:styleId="Textodeglobo">
    <w:name w:val="Balloon Text"/>
    <w:basedOn w:val="Normal"/>
    <w:link w:val="TextodegloboCar"/>
    <w:uiPriority w:val="99"/>
    <w:semiHidden/>
    <w:unhideWhenUsed/>
    <w:rsid w:val="00BA15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156C"/>
    <w:rPr>
      <w:rFonts w:ascii="Tahoma" w:hAnsi="Tahoma" w:cs="Tahoma"/>
      <w:sz w:val="16"/>
      <w:szCs w:val="16"/>
    </w:rPr>
  </w:style>
  <w:style w:type="paragraph" w:styleId="Textoindependiente">
    <w:name w:val="Body Text"/>
    <w:basedOn w:val="Normal"/>
    <w:link w:val="TextoindependienteCar"/>
    <w:rsid w:val="006E132A"/>
    <w:pPr>
      <w:widowControl w:val="0"/>
      <w:tabs>
        <w:tab w:val="left" w:pos="-720"/>
        <w:tab w:val="left" w:pos="0"/>
        <w:tab w:val="left" w:pos="720"/>
      </w:tabs>
      <w:suppressAutoHyphens/>
      <w:spacing w:after="0" w:line="240" w:lineRule="auto"/>
      <w:jc w:val="both"/>
    </w:pPr>
    <w:rPr>
      <w:rFonts w:ascii="Univers" w:eastAsia="Times New Roman" w:hAnsi="Univers"/>
      <w:spacing w:val="-3"/>
      <w:szCs w:val="20"/>
      <w:lang w:val="es-CL"/>
    </w:rPr>
  </w:style>
  <w:style w:type="character" w:customStyle="1" w:styleId="TextoindependienteCar">
    <w:name w:val="Texto independiente Car"/>
    <w:basedOn w:val="Fuentedeprrafopredeter"/>
    <w:link w:val="Textoindependiente"/>
    <w:rsid w:val="006E132A"/>
    <w:rPr>
      <w:rFonts w:ascii="Univers" w:eastAsia="Times New Roman" w:hAnsi="Univers" w:cs="Times New Roman"/>
      <w:spacing w:val="-3"/>
      <w:szCs w:val="20"/>
      <w:lang w:val="es-CL"/>
    </w:rPr>
  </w:style>
  <w:style w:type="paragraph" w:styleId="Ttulo">
    <w:name w:val="Title"/>
    <w:basedOn w:val="Normal"/>
    <w:next w:val="Normal"/>
    <w:link w:val="TtuloCar"/>
    <w:uiPriority w:val="10"/>
    <w:qFormat/>
    <w:rsid w:val="006E132A"/>
    <w:pPr>
      <w:pBdr>
        <w:bottom w:val="single" w:sz="8" w:space="4" w:color="4F81BD"/>
      </w:pBdr>
      <w:spacing w:after="300" w:line="240" w:lineRule="auto"/>
      <w:contextualSpacing/>
    </w:pPr>
    <w:rPr>
      <w:rFonts w:ascii="Cambria" w:eastAsia="MS Gothic" w:hAnsi="Cambria"/>
      <w:color w:val="17365D"/>
      <w:spacing w:val="5"/>
      <w:kern w:val="28"/>
      <w:sz w:val="52"/>
      <w:szCs w:val="52"/>
    </w:rPr>
  </w:style>
  <w:style w:type="character" w:customStyle="1" w:styleId="TtuloCar">
    <w:name w:val="Título Car"/>
    <w:basedOn w:val="Fuentedeprrafopredeter"/>
    <w:link w:val="Ttulo"/>
    <w:uiPriority w:val="10"/>
    <w:rsid w:val="006E132A"/>
    <w:rPr>
      <w:rFonts w:ascii="Cambria" w:eastAsia="MS Gothic" w:hAnsi="Cambria" w:cs="Times New Roman"/>
      <w:color w:val="17365D"/>
      <w:spacing w:val="5"/>
      <w:kern w:val="28"/>
      <w:sz w:val="52"/>
      <w:szCs w:val="52"/>
    </w:rPr>
  </w:style>
  <w:style w:type="character" w:customStyle="1" w:styleId="ft">
    <w:name w:val="ft"/>
    <w:basedOn w:val="Fuentedeprrafopredeter"/>
    <w:rsid w:val="00051D1A"/>
  </w:style>
  <w:style w:type="paragraph" w:styleId="Prrafodelista">
    <w:name w:val="List Paragraph"/>
    <w:basedOn w:val="Normal"/>
    <w:uiPriority w:val="34"/>
    <w:qFormat/>
    <w:rsid w:val="00051D1A"/>
    <w:pPr>
      <w:ind w:left="720"/>
      <w:contextualSpacing/>
    </w:pPr>
  </w:style>
  <w:style w:type="character" w:styleId="nfasis">
    <w:name w:val="Emphasis"/>
    <w:basedOn w:val="Fuentedeprrafopredeter"/>
    <w:uiPriority w:val="20"/>
    <w:qFormat/>
    <w:rsid w:val="003E48D7"/>
    <w:rPr>
      <w:i/>
      <w:iCs/>
    </w:rPr>
  </w:style>
  <w:style w:type="table" w:styleId="Tablaconcuadrcula">
    <w:name w:val="Table Grid"/>
    <w:basedOn w:val="Tablanormal"/>
    <w:uiPriority w:val="59"/>
    <w:rsid w:val="00635E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823597"/>
    <w:rPr>
      <w:sz w:val="16"/>
      <w:szCs w:val="16"/>
    </w:rPr>
  </w:style>
  <w:style w:type="paragraph" w:styleId="Textocomentario">
    <w:name w:val="annotation text"/>
    <w:basedOn w:val="Normal"/>
    <w:link w:val="TextocomentarioCar"/>
    <w:uiPriority w:val="99"/>
    <w:semiHidden/>
    <w:unhideWhenUsed/>
    <w:rsid w:val="0082359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3597"/>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823597"/>
    <w:rPr>
      <w:b/>
      <w:bCs/>
    </w:rPr>
  </w:style>
  <w:style w:type="character" w:customStyle="1" w:styleId="AsuntodelcomentarioCar">
    <w:name w:val="Asunto del comentario Car"/>
    <w:basedOn w:val="TextocomentarioCar"/>
    <w:link w:val="Asuntodelcomentario"/>
    <w:uiPriority w:val="99"/>
    <w:semiHidden/>
    <w:rsid w:val="00823597"/>
    <w:rPr>
      <w:rFonts w:ascii="Calibri" w:eastAsia="Calibri" w:hAnsi="Calibri" w:cs="Times New Roman"/>
      <w:b/>
      <w:bCs/>
      <w:sz w:val="20"/>
      <w:szCs w:val="20"/>
    </w:rPr>
  </w:style>
  <w:style w:type="character" w:customStyle="1" w:styleId="apple-converted-space">
    <w:name w:val="apple-converted-space"/>
    <w:basedOn w:val="Fuentedeprrafopredeter"/>
    <w:rsid w:val="00854C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3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56C"/>
  </w:style>
  <w:style w:type="paragraph" w:styleId="Footer">
    <w:name w:val="footer"/>
    <w:basedOn w:val="Normal"/>
    <w:link w:val="FooterChar"/>
    <w:uiPriority w:val="99"/>
    <w:unhideWhenUsed/>
    <w:rsid w:val="00BA1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56C"/>
  </w:style>
  <w:style w:type="paragraph" w:styleId="BalloonText">
    <w:name w:val="Balloon Text"/>
    <w:basedOn w:val="Normal"/>
    <w:link w:val="BalloonTextChar"/>
    <w:uiPriority w:val="99"/>
    <w:semiHidden/>
    <w:unhideWhenUsed/>
    <w:rsid w:val="00BA1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56C"/>
    <w:rPr>
      <w:rFonts w:ascii="Tahoma" w:hAnsi="Tahoma" w:cs="Tahoma"/>
      <w:sz w:val="16"/>
      <w:szCs w:val="16"/>
    </w:rPr>
  </w:style>
  <w:style w:type="paragraph" w:styleId="BodyText">
    <w:name w:val="Body Text"/>
    <w:basedOn w:val="Normal"/>
    <w:link w:val="BodyTextChar"/>
    <w:rsid w:val="006E132A"/>
    <w:pPr>
      <w:widowControl w:val="0"/>
      <w:tabs>
        <w:tab w:val="left" w:pos="-720"/>
        <w:tab w:val="left" w:pos="0"/>
        <w:tab w:val="left" w:pos="720"/>
      </w:tabs>
      <w:suppressAutoHyphens/>
      <w:spacing w:after="0" w:line="240" w:lineRule="auto"/>
      <w:jc w:val="both"/>
    </w:pPr>
    <w:rPr>
      <w:rFonts w:ascii="Univers" w:eastAsia="Times New Roman" w:hAnsi="Univers"/>
      <w:spacing w:val="-3"/>
      <w:szCs w:val="20"/>
      <w:lang w:val="es-CL"/>
    </w:rPr>
  </w:style>
  <w:style w:type="character" w:customStyle="1" w:styleId="BodyTextChar">
    <w:name w:val="Body Text Char"/>
    <w:basedOn w:val="DefaultParagraphFont"/>
    <w:link w:val="BodyText"/>
    <w:rsid w:val="006E132A"/>
    <w:rPr>
      <w:rFonts w:ascii="Univers" w:eastAsia="Times New Roman" w:hAnsi="Univers" w:cs="Times New Roman"/>
      <w:spacing w:val="-3"/>
      <w:szCs w:val="20"/>
      <w:lang w:val="es-CL"/>
    </w:rPr>
  </w:style>
  <w:style w:type="paragraph" w:styleId="Title">
    <w:name w:val="Title"/>
    <w:basedOn w:val="Normal"/>
    <w:next w:val="Normal"/>
    <w:link w:val="TitleChar"/>
    <w:uiPriority w:val="10"/>
    <w:qFormat/>
    <w:rsid w:val="006E132A"/>
    <w:pPr>
      <w:pBdr>
        <w:bottom w:val="single" w:sz="8" w:space="4" w:color="4F81BD"/>
      </w:pBdr>
      <w:spacing w:after="300" w:line="240" w:lineRule="auto"/>
      <w:contextualSpacing/>
    </w:pPr>
    <w:rPr>
      <w:rFonts w:ascii="Cambria" w:eastAsia="MS Gothic" w:hAnsi="Cambria"/>
      <w:color w:val="17365D"/>
      <w:spacing w:val="5"/>
      <w:kern w:val="28"/>
      <w:sz w:val="52"/>
      <w:szCs w:val="52"/>
    </w:rPr>
  </w:style>
  <w:style w:type="character" w:customStyle="1" w:styleId="TitleChar">
    <w:name w:val="Title Char"/>
    <w:basedOn w:val="DefaultParagraphFont"/>
    <w:link w:val="Title"/>
    <w:uiPriority w:val="10"/>
    <w:rsid w:val="006E132A"/>
    <w:rPr>
      <w:rFonts w:ascii="Cambria" w:eastAsia="MS Gothic" w:hAnsi="Cambria" w:cs="Times New Roman"/>
      <w:color w:val="17365D"/>
      <w:spacing w:val="5"/>
      <w:kern w:val="28"/>
      <w:sz w:val="52"/>
      <w:szCs w:val="52"/>
    </w:rPr>
  </w:style>
  <w:style w:type="character" w:customStyle="1" w:styleId="ft">
    <w:name w:val="ft"/>
    <w:basedOn w:val="DefaultParagraphFont"/>
    <w:rsid w:val="00051D1A"/>
  </w:style>
  <w:style w:type="paragraph" w:styleId="ListParagraph">
    <w:name w:val="List Paragraph"/>
    <w:basedOn w:val="Normal"/>
    <w:uiPriority w:val="34"/>
    <w:qFormat/>
    <w:rsid w:val="00051D1A"/>
    <w:pPr>
      <w:ind w:left="720"/>
      <w:contextualSpacing/>
    </w:pPr>
  </w:style>
  <w:style w:type="character" w:styleId="Emphasis">
    <w:name w:val="Emphasis"/>
    <w:basedOn w:val="DefaultParagraphFont"/>
    <w:uiPriority w:val="20"/>
    <w:qFormat/>
    <w:rsid w:val="003E48D7"/>
    <w:rPr>
      <w:i/>
      <w:iCs/>
    </w:rPr>
  </w:style>
  <w:style w:type="table" w:styleId="TableGrid">
    <w:name w:val="Table Grid"/>
    <w:basedOn w:val="TableNormal"/>
    <w:uiPriority w:val="59"/>
    <w:rsid w:val="00635E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23597"/>
    <w:rPr>
      <w:sz w:val="16"/>
      <w:szCs w:val="16"/>
    </w:rPr>
  </w:style>
  <w:style w:type="paragraph" w:styleId="CommentText">
    <w:name w:val="annotation text"/>
    <w:basedOn w:val="Normal"/>
    <w:link w:val="CommentTextChar"/>
    <w:uiPriority w:val="99"/>
    <w:semiHidden/>
    <w:unhideWhenUsed/>
    <w:rsid w:val="00823597"/>
    <w:pPr>
      <w:spacing w:line="240" w:lineRule="auto"/>
    </w:pPr>
    <w:rPr>
      <w:sz w:val="20"/>
      <w:szCs w:val="20"/>
    </w:rPr>
  </w:style>
  <w:style w:type="character" w:customStyle="1" w:styleId="CommentTextChar">
    <w:name w:val="Comment Text Char"/>
    <w:basedOn w:val="DefaultParagraphFont"/>
    <w:link w:val="CommentText"/>
    <w:uiPriority w:val="99"/>
    <w:semiHidden/>
    <w:rsid w:val="0082359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23597"/>
    <w:rPr>
      <w:b/>
      <w:bCs/>
    </w:rPr>
  </w:style>
  <w:style w:type="character" w:customStyle="1" w:styleId="CommentSubjectChar">
    <w:name w:val="Comment Subject Char"/>
    <w:basedOn w:val="CommentTextChar"/>
    <w:link w:val="CommentSubject"/>
    <w:uiPriority w:val="99"/>
    <w:semiHidden/>
    <w:rsid w:val="00823597"/>
    <w:rPr>
      <w:rFonts w:ascii="Calibri" w:eastAsia="Calibri" w:hAnsi="Calibri" w:cs="Times New Roman"/>
      <w:b/>
      <w:bCs/>
      <w:sz w:val="20"/>
      <w:szCs w:val="20"/>
    </w:rPr>
  </w:style>
  <w:style w:type="character" w:customStyle="1" w:styleId="apple-converted-space">
    <w:name w:val="apple-converted-space"/>
    <w:basedOn w:val="DefaultParagraphFont"/>
    <w:rsid w:val="00854CF4"/>
  </w:style>
</w:styles>
</file>

<file path=word/webSettings.xml><?xml version="1.0" encoding="utf-8"?>
<w:webSettings xmlns:r="http://schemas.openxmlformats.org/officeDocument/2006/relationships" xmlns:w="http://schemas.openxmlformats.org/wordprocessingml/2006/main">
  <w:divs>
    <w:div w:id="587735431">
      <w:bodyDiv w:val="1"/>
      <w:marLeft w:val="0"/>
      <w:marRight w:val="0"/>
      <w:marTop w:val="0"/>
      <w:marBottom w:val="0"/>
      <w:divBdr>
        <w:top w:val="none" w:sz="0" w:space="0" w:color="auto"/>
        <w:left w:val="none" w:sz="0" w:space="0" w:color="auto"/>
        <w:bottom w:val="none" w:sz="0" w:space="0" w:color="auto"/>
        <w:right w:val="none" w:sz="0" w:space="0" w:color="auto"/>
      </w:divBdr>
    </w:div>
    <w:div w:id="923226856">
      <w:bodyDiv w:val="1"/>
      <w:marLeft w:val="0"/>
      <w:marRight w:val="0"/>
      <w:marTop w:val="0"/>
      <w:marBottom w:val="0"/>
      <w:divBdr>
        <w:top w:val="none" w:sz="0" w:space="0" w:color="auto"/>
        <w:left w:val="none" w:sz="0" w:space="0" w:color="auto"/>
        <w:bottom w:val="none" w:sz="0" w:space="0" w:color="auto"/>
        <w:right w:val="none" w:sz="0" w:space="0" w:color="auto"/>
      </w:divBdr>
    </w:div>
    <w:div w:id="947007481">
      <w:bodyDiv w:val="1"/>
      <w:marLeft w:val="0"/>
      <w:marRight w:val="0"/>
      <w:marTop w:val="0"/>
      <w:marBottom w:val="0"/>
      <w:divBdr>
        <w:top w:val="none" w:sz="0" w:space="0" w:color="auto"/>
        <w:left w:val="none" w:sz="0" w:space="0" w:color="auto"/>
        <w:bottom w:val="none" w:sz="0" w:space="0" w:color="auto"/>
        <w:right w:val="none" w:sz="0" w:space="0" w:color="auto"/>
      </w:divBdr>
      <w:divsChild>
        <w:div w:id="1639455650">
          <w:marLeft w:val="120"/>
          <w:marRight w:val="120"/>
          <w:marTop w:val="120"/>
          <w:marBottom w:val="120"/>
          <w:divBdr>
            <w:top w:val="none" w:sz="0" w:space="0" w:color="auto"/>
            <w:left w:val="none" w:sz="0" w:space="0" w:color="auto"/>
            <w:bottom w:val="none" w:sz="0" w:space="0" w:color="auto"/>
            <w:right w:val="none" w:sz="0" w:space="0" w:color="auto"/>
          </w:divBdr>
          <w:divsChild>
            <w:div w:id="9618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media/image9.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3F543-E268-46A6-8496-7DBE3C4E2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1844</Words>
  <Characters>10143</Characters>
  <Application>Microsoft Office Word</Application>
  <DocSecurity>0</DocSecurity>
  <Lines>84</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11964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JMULDER</dc:creator>
  <cp:lastModifiedBy>PCDoris</cp:lastModifiedBy>
  <cp:revision>2</cp:revision>
  <cp:lastPrinted>2012-10-16T17:42:00Z</cp:lastPrinted>
  <dcterms:created xsi:type="dcterms:W3CDTF">2012-10-29T17:54:00Z</dcterms:created>
  <dcterms:modified xsi:type="dcterms:W3CDTF">2012-10-29T17:54:00Z</dcterms:modified>
</cp:coreProperties>
</file>