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BC4" w:rsidRPr="00F86161" w:rsidRDefault="00856BC4" w:rsidP="00856BC4">
      <w:pPr>
        <w:jc w:val="center"/>
        <w:rPr>
          <w:rFonts w:ascii="Arial Rounded MT Bold" w:hAnsi="Arial Rounded MT Bold"/>
          <w:b/>
          <w:color w:val="000000" w:themeColor="text1"/>
          <w:sz w:val="44"/>
          <w:szCs w:val="44"/>
        </w:rPr>
      </w:pPr>
      <w:bookmarkStart w:id="0" w:name="_Toc50307781"/>
      <w:r w:rsidRPr="00F86161">
        <w:rPr>
          <w:rFonts w:ascii="Arial Rounded MT Bold" w:hAnsi="Arial Rounded MT Bold"/>
          <w:b/>
          <w:color w:val="000000" w:themeColor="text1"/>
          <w:sz w:val="44"/>
          <w:szCs w:val="44"/>
        </w:rPr>
        <w:t>Impact of Covid-19 on Trade, FDI and Employment in Mauritius</w:t>
      </w:r>
      <w:bookmarkEnd w:id="0"/>
    </w:p>
    <w:p w:rsidR="00856BC4" w:rsidRPr="00CE4910" w:rsidRDefault="00856BC4" w:rsidP="00856BC4">
      <w:pPr>
        <w:jc w:val="center"/>
        <w:rPr>
          <w:b/>
          <w:color w:val="000000" w:themeColor="text1"/>
          <w:sz w:val="32"/>
          <w:szCs w:val="32"/>
        </w:rPr>
      </w:pPr>
    </w:p>
    <w:p w:rsidR="00856BC4" w:rsidRPr="00CE4910" w:rsidRDefault="00856BC4" w:rsidP="00856BC4">
      <w:pPr>
        <w:jc w:val="center"/>
        <w:rPr>
          <w:b/>
          <w:color w:val="000000" w:themeColor="text1"/>
          <w:sz w:val="32"/>
          <w:szCs w:val="32"/>
        </w:rPr>
      </w:pPr>
    </w:p>
    <w:p w:rsidR="00856BC4" w:rsidRPr="00CE4910" w:rsidRDefault="00856BC4" w:rsidP="00856BC4">
      <w:pPr>
        <w:jc w:val="center"/>
        <w:rPr>
          <w:b/>
          <w:color w:val="000000" w:themeColor="text1"/>
          <w:sz w:val="32"/>
          <w:szCs w:val="32"/>
        </w:rPr>
      </w:pPr>
    </w:p>
    <w:p w:rsidR="00856BC4" w:rsidRPr="00CE4910" w:rsidRDefault="00856BC4" w:rsidP="00856BC4">
      <w:pPr>
        <w:jc w:val="center"/>
        <w:rPr>
          <w:b/>
          <w:color w:val="000000" w:themeColor="text1"/>
          <w:sz w:val="32"/>
          <w:szCs w:val="32"/>
        </w:rPr>
      </w:pPr>
      <w:r w:rsidRPr="00CE4910">
        <w:rPr>
          <w:b/>
          <w:color w:val="000000" w:themeColor="text1"/>
          <w:sz w:val="32"/>
          <w:szCs w:val="32"/>
        </w:rPr>
        <w:t>Study Funded by the Mauritius Research and Innovati</w:t>
      </w:r>
      <w:r>
        <w:rPr>
          <w:b/>
          <w:color w:val="000000" w:themeColor="text1"/>
          <w:sz w:val="32"/>
          <w:szCs w:val="32"/>
        </w:rPr>
        <w:t>on</w:t>
      </w:r>
      <w:r w:rsidRPr="00CE4910">
        <w:rPr>
          <w:b/>
          <w:color w:val="000000" w:themeColor="text1"/>
          <w:sz w:val="32"/>
          <w:szCs w:val="32"/>
        </w:rPr>
        <w:t xml:space="preserve"> Council</w:t>
      </w:r>
    </w:p>
    <w:p w:rsidR="00856BC4" w:rsidRPr="00CE4910" w:rsidRDefault="00856BC4" w:rsidP="00856BC4">
      <w:pPr>
        <w:jc w:val="center"/>
        <w:rPr>
          <w:b/>
          <w:color w:val="000000" w:themeColor="text1"/>
          <w:sz w:val="32"/>
          <w:szCs w:val="32"/>
        </w:rPr>
      </w:pPr>
      <w:r w:rsidRPr="00F86161">
        <w:rPr>
          <w:noProof/>
          <w:lang w:eastAsia="en-GB"/>
        </w:rPr>
        <w:drawing>
          <wp:inline distT="0" distB="0" distL="0" distR="0" wp14:anchorId="1577D162" wp14:editId="30A866B5">
            <wp:extent cx="942975" cy="704850"/>
            <wp:effectExtent l="0" t="0" r="9525" b="0"/>
            <wp:docPr id="169" name="Picture 169" descr="National Computer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ational Computer Boar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42975" cy="704850"/>
                    </a:xfrm>
                    <a:prstGeom prst="rect">
                      <a:avLst/>
                    </a:prstGeom>
                    <a:noFill/>
                    <a:ln>
                      <a:noFill/>
                    </a:ln>
                  </pic:spPr>
                </pic:pic>
              </a:graphicData>
            </a:graphic>
          </wp:inline>
        </w:drawing>
      </w:r>
    </w:p>
    <w:p w:rsidR="00856BC4" w:rsidRPr="00CE4910" w:rsidRDefault="00856BC4" w:rsidP="00856BC4">
      <w:pPr>
        <w:jc w:val="center"/>
        <w:rPr>
          <w:b/>
          <w:color w:val="000000" w:themeColor="text1"/>
          <w:sz w:val="32"/>
          <w:szCs w:val="32"/>
        </w:rPr>
      </w:pPr>
    </w:p>
    <w:p w:rsidR="00856BC4" w:rsidRPr="00CE4910" w:rsidRDefault="00856BC4" w:rsidP="00856BC4">
      <w:pPr>
        <w:jc w:val="center"/>
        <w:rPr>
          <w:b/>
          <w:color w:val="000000" w:themeColor="text1"/>
          <w:sz w:val="32"/>
          <w:szCs w:val="32"/>
        </w:rPr>
      </w:pPr>
      <w:r w:rsidRPr="00CE4910">
        <w:rPr>
          <w:b/>
          <w:color w:val="000000" w:themeColor="text1"/>
          <w:sz w:val="32"/>
          <w:szCs w:val="32"/>
        </w:rPr>
        <w:t>University of Mauritius in collaboration with the Economic Development Board</w:t>
      </w:r>
    </w:p>
    <w:p w:rsidR="00856BC4" w:rsidRPr="00CE4910" w:rsidRDefault="00856BC4" w:rsidP="00856BC4">
      <w:pPr>
        <w:jc w:val="center"/>
        <w:rPr>
          <w:b/>
          <w:color w:val="000000" w:themeColor="text1"/>
          <w:sz w:val="32"/>
          <w:szCs w:val="32"/>
        </w:rPr>
      </w:pPr>
    </w:p>
    <w:p w:rsidR="00856BC4" w:rsidRPr="00CE4910" w:rsidRDefault="00856BC4" w:rsidP="00856BC4">
      <w:pPr>
        <w:jc w:val="center"/>
        <w:rPr>
          <w:b/>
          <w:color w:val="000000" w:themeColor="text1"/>
          <w:sz w:val="32"/>
          <w:szCs w:val="32"/>
        </w:rPr>
      </w:pPr>
      <w:r w:rsidRPr="00F86161">
        <w:rPr>
          <w:b/>
          <w:noProof/>
          <w:color w:val="000000" w:themeColor="text1"/>
          <w:sz w:val="32"/>
          <w:szCs w:val="32"/>
          <w:lang w:eastAsia="en-GB"/>
        </w:rPr>
        <w:drawing>
          <wp:inline distT="0" distB="0" distL="0" distR="0" wp14:anchorId="4778F9E2" wp14:editId="07171B90">
            <wp:extent cx="857250" cy="809625"/>
            <wp:effectExtent l="0" t="0" r="0" b="9525"/>
            <wp:docPr id="5" name="Picture 5" descr="University of Mauritius | Africa's List T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 of Mauritius | Africa's List T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57250" cy="809625"/>
                    </a:xfrm>
                    <a:prstGeom prst="rect">
                      <a:avLst/>
                    </a:prstGeom>
                    <a:noFill/>
                    <a:ln>
                      <a:noFill/>
                    </a:ln>
                  </pic:spPr>
                </pic:pic>
              </a:graphicData>
            </a:graphic>
          </wp:inline>
        </w:drawing>
      </w:r>
      <w:r w:rsidRPr="00F86161">
        <w:t xml:space="preserve"> </w:t>
      </w:r>
      <w:r w:rsidRPr="00F86161">
        <w:rPr>
          <w:noProof/>
          <w:lang w:eastAsia="en-GB"/>
        </w:rPr>
        <w:drawing>
          <wp:inline distT="0" distB="0" distL="0" distR="0" wp14:anchorId="1C89093B" wp14:editId="5033CC76">
            <wp:extent cx="1095375" cy="752475"/>
            <wp:effectExtent l="0" t="0" r="9525" b="0"/>
            <wp:docPr id="19" name="Picture 19" descr="Home | EDB MAURITI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ome | EDB MAURITIU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10775" cy="763054"/>
                    </a:xfrm>
                    <a:prstGeom prst="rect">
                      <a:avLst/>
                    </a:prstGeom>
                    <a:noFill/>
                    <a:ln>
                      <a:noFill/>
                    </a:ln>
                  </pic:spPr>
                </pic:pic>
              </a:graphicData>
            </a:graphic>
          </wp:inline>
        </w:drawing>
      </w:r>
      <w:r w:rsidRPr="00F86161">
        <w:t xml:space="preserve"> </w:t>
      </w:r>
    </w:p>
    <w:p w:rsidR="00856BC4" w:rsidRPr="00CE4910" w:rsidRDefault="00856BC4" w:rsidP="00856BC4">
      <w:pPr>
        <w:jc w:val="center"/>
        <w:rPr>
          <w:b/>
          <w:color w:val="000000" w:themeColor="text1"/>
          <w:sz w:val="32"/>
          <w:szCs w:val="32"/>
        </w:rPr>
      </w:pPr>
    </w:p>
    <w:p w:rsidR="00856BC4" w:rsidRPr="00F86161" w:rsidRDefault="00856BC4" w:rsidP="00856BC4">
      <w:pPr>
        <w:spacing w:after="0" w:line="240" w:lineRule="auto"/>
        <w:rPr>
          <w:rFonts w:ascii="Book Antiqua" w:hAnsi="Book Antiqua"/>
          <w:b/>
          <w:color w:val="000000" w:themeColor="text1"/>
          <w:sz w:val="24"/>
          <w:szCs w:val="32"/>
        </w:rPr>
      </w:pPr>
      <w:r w:rsidRPr="00F86161">
        <w:rPr>
          <w:rFonts w:ascii="Book Antiqua" w:hAnsi="Book Antiqua"/>
          <w:b/>
          <w:color w:val="000000" w:themeColor="text1"/>
          <w:sz w:val="24"/>
          <w:szCs w:val="32"/>
        </w:rPr>
        <w:t>Lead Investigators:</w:t>
      </w:r>
    </w:p>
    <w:p w:rsidR="00856BC4" w:rsidRPr="00F86161" w:rsidRDefault="00856BC4" w:rsidP="00856BC4">
      <w:pPr>
        <w:spacing w:after="0" w:line="240" w:lineRule="auto"/>
        <w:rPr>
          <w:rFonts w:ascii="Book Antiqua" w:hAnsi="Book Antiqua"/>
          <w:i/>
          <w:color w:val="000000" w:themeColor="text1"/>
          <w:sz w:val="24"/>
          <w:szCs w:val="32"/>
        </w:rPr>
      </w:pPr>
      <w:r w:rsidRPr="00F86161">
        <w:rPr>
          <w:rFonts w:ascii="Book Antiqua" w:hAnsi="Book Antiqua"/>
          <w:i/>
          <w:color w:val="000000" w:themeColor="text1"/>
          <w:sz w:val="24"/>
          <w:szCs w:val="32"/>
        </w:rPr>
        <w:t xml:space="preserve">Associate Professor </w:t>
      </w:r>
      <w:proofErr w:type="spellStart"/>
      <w:r w:rsidRPr="00F86161">
        <w:rPr>
          <w:rFonts w:ascii="Book Antiqua" w:hAnsi="Book Antiqua"/>
          <w:i/>
          <w:color w:val="000000" w:themeColor="text1"/>
          <w:sz w:val="24"/>
          <w:szCs w:val="32"/>
        </w:rPr>
        <w:t>Verena</w:t>
      </w:r>
      <w:proofErr w:type="spellEnd"/>
      <w:r w:rsidRPr="00F86161">
        <w:rPr>
          <w:rFonts w:ascii="Book Antiqua" w:hAnsi="Book Antiqua"/>
          <w:i/>
          <w:color w:val="000000" w:themeColor="text1"/>
          <w:sz w:val="24"/>
          <w:szCs w:val="32"/>
        </w:rPr>
        <w:t xml:space="preserve"> </w:t>
      </w:r>
      <w:proofErr w:type="spellStart"/>
      <w:r w:rsidRPr="00F86161">
        <w:rPr>
          <w:rFonts w:ascii="Book Antiqua" w:hAnsi="Book Antiqua"/>
          <w:i/>
          <w:color w:val="000000" w:themeColor="text1"/>
          <w:sz w:val="24"/>
          <w:szCs w:val="32"/>
        </w:rPr>
        <w:t>Tandrayen-Ragoobur</w:t>
      </w:r>
      <w:proofErr w:type="spellEnd"/>
      <w:r w:rsidRPr="00F86161">
        <w:rPr>
          <w:rFonts w:ascii="Book Antiqua" w:hAnsi="Book Antiqua"/>
          <w:i/>
          <w:color w:val="000000" w:themeColor="text1"/>
          <w:sz w:val="24"/>
          <w:szCs w:val="32"/>
        </w:rPr>
        <w:t>, University of Mauritius</w:t>
      </w:r>
    </w:p>
    <w:p w:rsidR="00856BC4" w:rsidRPr="00F86161" w:rsidRDefault="00856BC4" w:rsidP="00856BC4">
      <w:pPr>
        <w:spacing w:after="0" w:line="240" w:lineRule="auto"/>
        <w:rPr>
          <w:rFonts w:ascii="Book Antiqua" w:hAnsi="Book Antiqua"/>
          <w:i/>
          <w:color w:val="000000" w:themeColor="text1"/>
          <w:sz w:val="24"/>
          <w:szCs w:val="32"/>
        </w:rPr>
      </w:pPr>
      <w:r w:rsidRPr="00F86161">
        <w:rPr>
          <w:rFonts w:ascii="Book Antiqua" w:hAnsi="Book Antiqua"/>
          <w:i/>
          <w:color w:val="000000" w:themeColor="text1"/>
          <w:sz w:val="24"/>
          <w:szCs w:val="32"/>
        </w:rPr>
        <w:t xml:space="preserve">Professor </w:t>
      </w:r>
      <w:proofErr w:type="spellStart"/>
      <w:r w:rsidRPr="00F86161">
        <w:rPr>
          <w:rFonts w:ascii="Book Antiqua" w:hAnsi="Book Antiqua"/>
          <w:i/>
          <w:color w:val="000000" w:themeColor="text1"/>
          <w:sz w:val="24"/>
          <w:szCs w:val="32"/>
        </w:rPr>
        <w:t>Boopen</w:t>
      </w:r>
      <w:proofErr w:type="spellEnd"/>
      <w:r w:rsidRPr="00F86161">
        <w:rPr>
          <w:rFonts w:ascii="Book Antiqua" w:hAnsi="Book Antiqua"/>
          <w:i/>
          <w:color w:val="000000" w:themeColor="text1"/>
          <w:sz w:val="24"/>
          <w:szCs w:val="32"/>
        </w:rPr>
        <w:t xml:space="preserve"> </w:t>
      </w:r>
      <w:proofErr w:type="spellStart"/>
      <w:r w:rsidRPr="00F86161">
        <w:rPr>
          <w:rFonts w:ascii="Book Antiqua" w:hAnsi="Book Antiqua"/>
          <w:i/>
          <w:color w:val="000000" w:themeColor="text1"/>
          <w:sz w:val="24"/>
          <w:szCs w:val="32"/>
        </w:rPr>
        <w:t>Seetanah</w:t>
      </w:r>
      <w:proofErr w:type="spellEnd"/>
      <w:r w:rsidRPr="00F86161">
        <w:rPr>
          <w:rFonts w:ascii="Book Antiqua" w:hAnsi="Book Antiqua"/>
          <w:i/>
          <w:color w:val="000000" w:themeColor="text1"/>
          <w:sz w:val="24"/>
          <w:szCs w:val="32"/>
        </w:rPr>
        <w:t>, University of Mauritius</w:t>
      </w:r>
    </w:p>
    <w:p w:rsidR="00856BC4" w:rsidRPr="00F86161" w:rsidRDefault="00856BC4" w:rsidP="00856BC4">
      <w:pPr>
        <w:spacing w:after="0" w:line="240" w:lineRule="auto"/>
        <w:rPr>
          <w:rFonts w:ascii="Book Antiqua" w:hAnsi="Book Antiqua"/>
          <w:color w:val="000000" w:themeColor="text1"/>
          <w:sz w:val="24"/>
          <w:szCs w:val="32"/>
        </w:rPr>
      </w:pPr>
      <w:r w:rsidRPr="00F86161">
        <w:rPr>
          <w:rFonts w:ascii="Book Antiqua" w:hAnsi="Book Antiqua"/>
          <w:i/>
          <w:color w:val="000000" w:themeColor="text1"/>
          <w:sz w:val="24"/>
          <w:szCs w:val="32"/>
        </w:rPr>
        <w:t xml:space="preserve">Professor Jaime De </w:t>
      </w:r>
      <w:proofErr w:type="spellStart"/>
      <w:r w:rsidRPr="00F86161">
        <w:rPr>
          <w:rFonts w:ascii="Book Antiqua" w:hAnsi="Book Antiqua"/>
          <w:i/>
          <w:color w:val="000000" w:themeColor="text1"/>
          <w:sz w:val="24"/>
          <w:szCs w:val="32"/>
        </w:rPr>
        <w:t>Melo</w:t>
      </w:r>
      <w:proofErr w:type="spellEnd"/>
      <w:r w:rsidRPr="00F86161">
        <w:rPr>
          <w:rFonts w:ascii="Book Antiqua" w:hAnsi="Book Antiqua"/>
          <w:i/>
          <w:color w:val="000000" w:themeColor="text1"/>
          <w:sz w:val="24"/>
          <w:szCs w:val="32"/>
        </w:rPr>
        <w:t xml:space="preserve">, Emeritus Professor, FERDI, </w:t>
      </w:r>
      <w:r w:rsidRPr="00F86161">
        <w:rPr>
          <w:rFonts w:ascii="Book Antiqua" w:hAnsi="Book Antiqua"/>
          <w:i/>
          <w:color w:val="000000" w:themeColor="text1"/>
        </w:rPr>
        <w:t>University of Geneva and</w:t>
      </w:r>
      <w:r w:rsidRPr="00F86161">
        <w:rPr>
          <w:rFonts w:ascii="Book Antiqua" w:hAnsi="Book Antiqua"/>
          <w:color w:val="000000" w:themeColor="text1"/>
        </w:rPr>
        <w:t xml:space="preserve"> SAIS, </w:t>
      </w:r>
      <w:r w:rsidRPr="00F86161">
        <w:rPr>
          <w:rFonts w:ascii="Book Antiqua" w:hAnsi="Book Antiqua"/>
          <w:i/>
          <w:color w:val="000000" w:themeColor="text1"/>
        </w:rPr>
        <w:t>Bologna</w:t>
      </w:r>
    </w:p>
    <w:p w:rsidR="00856BC4" w:rsidRDefault="00856BC4" w:rsidP="00856BC4">
      <w:pPr>
        <w:spacing w:after="0" w:line="240" w:lineRule="auto"/>
        <w:rPr>
          <w:rFonts w:ascii="Book Antiqua" w:hAnsi="Book Antiqua"/>
          <w:b/>
          <w:color w:val="000000" w:themeColor="text1"/>
          <w:sz w:val="24"/>
          <w:szCs w:val="32"/>
        </w:rPr>
      </w:pPr>
    </w:p>
    <w:p w:rsidR="00856BC4" w:rsidRPr="00F86161" w:rsidRDefault="00856BC4" w:rsidP="00856BC4">
      <w:pPr>
        <w:spacing w:after="0" w:line="240" w:lineRule="auto"/>
        <w:rPr>
          <w:rFonts w:ascii="Book Antiqua" w:hAnsi="Book Antiqua"/>
          <w:b/>
          <w:color w:val="000000" w:themeColor="text1"/>
          <w:sz w:val="24"/>
          <w:szCs w:val="32"/>
        </w:rPr>
      </w:pPr>
      <w:r w:rsidRPr="00F86161">
        <w:rPr>
          <w:rFonts w:ascii="Book Antiqua" w:hAnsi="Book Antiqua"/>
          <w:b/>
          <w:color w:val="000000" w:themeColor="text1"/>
          <w:sz w:val="24"/>
          <w:szCs w:val="32"/>
        </w:rPr>
        <w:t>Co-Investigators:</w:t>
      </w:r>
    </w:p>
    <w:p w:rsidR="00856BC4" w:rsidRPr="00F86161" w:rsidRDefault="00856BC4" w:rsidP="00856BC4">
      <w:pPr>
        <w:spacing w:after="0" w:line="240" w:lineRule="auto"/>
        <w:rPr>
          <w:rFonts w:ascii="Book Antiqua" w:hAnsi="Book Antiqua"/>
          <w:i/>
          <w:color w:val="000000" w:themeColor="text1"/>
          <w:sz w:val="24"/>
          <w:szCs w:val="32"/>
        </w:rPr>
      </w:pPr>
      <w:r w:rsidRPr="00F86161">
        <w:rPr>
          <w:rFonts w:ascii="Book Antiqua" w:hAnsi="Book Antiqua"/>
          <w:i/>
          <w:color w:val="000000" w:themeColor="text1"/>
          <w:sz w:val="24"/>
          <w:szCs w:val="32"/>
        </w:rPr>
        <w:t xml:space="preserve">Dr </w:t>
      </w:r>
      <w:proofErr w:type="spellStart"/>
      <w:r w:rsidRPr="00F86161">
        <w:rPr>
          <w:rFonts w:ascii="Book Antiqua" w:hAnsi="Book Antiqua"/>
          <w:i/>
          <w:color w:val="000000" w:themeColor="text1"/>
          <w:sz w:val="24"/>
          <w:szCs w:val="32"/>
        </w:rPr>
        <w:t>Sheereen</w:t>
      </w:r>
      <w:proofErr w:type="spellEnd"/>
      <w:r w:rsidRPr="00F86161">
        <w:rPr>
          <w:rFonts w:ascii="Book Antiqua" w:hAnsi="Book Antiqua"/>
          <w:i/>
          <w:color w:val="000000" w:themeColor="text1"/>
          <w:sz w:val="24"/>
          <w:szCs w:val="32"/>
        </w:rPr>
        <w:t xml:space="preserve"> </w:t>
      </w:r>
      <w:proofErr w:type="spellStart"/>
      <w:r w:rsidRPr="00F86161">
        <w:rPr>
          <w:rFonts w:ascii="Book Antiqua" w:hAnsi="Book Antiqua"/>
          <w:i/>
          <w:color w:val="000000" w:themeColor="text1"/>
          <w:sz w:val="24"/>
          <w:szCs w:val="32"/>
        </w:rPr>
        <w:t>Fauzel</w:t>
      </w:r>
      <w:proofErr w:type="spellEnd"/>
      <w:r w:rsidRPr="00F86161">
        <w:rPr>
          <w:rFonts w:ascii="Book Antiqua" w:hAnsi="Book Antiqua"/>
          <w:i/>
          <w:color w:val="000000" w:themeColor="text1"/>
          <w:sz w:val="24"/>
          <w:szCs w:val="32"/>
        </w:rPr>
        <w:t>, University of Mauritius</w:t>
      </w:r>
    </w:p>
    <w:p w:rsidR="00856BC4" w:rsidRPr="00F86161" w:rsidRDefault="00856BC4" w:rsidP="00856BC4">
      <w:pPr>
        <w:spacing w:after="0" w:line="240" w:lineRule="auto"/>
        <w:rPr>
          <w:rFonts w:ascii="Book Antiqua" w:hAnsi="Book Antiqua"/>
          <w:i/>
          <w:color w:val="000000" w:themeColor="text1"/>
          <w:sz w:val="24"/>
          <w:szCs w:val="32"/>
        </w:rPr>
      </w:pPr>
      <w:r w:rsidRPr="00F86161">
        <w:rPr>
          <w:rFonts w:ascii="Book Antiqua" w:hAnsi="Book Antiqua"/>
          <w:i/>
          <w:color w:val="000000" w:themeColor="text1"/>
          <w:sz w:val="24"/>
          <w:szCs w:val="32"/>
        </w:rPr>
        <w:t xml:space="preserve">Dr </w:t>
      </w:r>
      <w:proofErr w:type="spellStart"/>
      <w:r w:rsidRPr="00F86161">
        <w:rPr>
          <w:rFonts w:ascii="Book Antiqua" w:hAnsi="Book Antiqua"/>
          <w:i/>
          <w:color w:val="000000" w:themeColor="text1"/>
          <w:sz w:val="24"/>
          <w:szCs w:val="32"/>
        </w:rPr>
        <w:t>Viraiyan</w:t>
      </w:r>
      <w:proofErr w:type="spellEnd"/>
      <w:r w:rsidRPr="00F86161">
        <w:rPr>
          <w:rFonts w:ascii="Book Antiqua" w:hAnsi="Book Antiqua"/>
          <w:i/>
          <w:color w:val="000000" w:themeColor="text1"/>
          <w:sz w:val="24"/>
          <w:szCs w:val="32"/>
        </w:rPr>
        <w:t xml:space="preserve"> </w:t>
      </w:r>
      <w:proofErr w:type="spellStart"/>
      <w:r w:rsidRPr="00F86161">
        <w:rPr>
          <w:rFonts w:ascii="Book Antiqua" w:hAnsi="Book Antiqua"/>
          <w:i/>
          <w:color w:val="000000" w:themeColor="text1"/>
          <w:sz w:val="24"/>
          <w:szCs w:val="32"/>
        </w:rPr>
        <w:t>Teeroovengadum</w:t>
      </w:r>
      <w:proofErr w:type="spellEnd"/>
      <w:r w:rsidRPr="00F86161">
        <w:rPr>
          <w:rFonts w:ascii="Book Antiqua" w:hAnsi="Book Antiqua"/>
          <w:i/>
          <w:color w:val="000000" w:themeColor="text1"/>
          <w:sz w:val="24"/>
          <w:szCs w:val="32"/>
        </w:rPr>
        <w:t>, University of Mauritius</w:t>
      </w:r>
    </w:p>
    <w:p w:rsidR="00856BC4" w:rsidRPr="00F86161" w:rsidRDefault="00856BC4" w:rsidP="00856BC4">
      <w:pPr>
        <w:spacing w:after="0" w:line="240" w:lineRule="auto"/>
        <w:rPr>
          <w:rFonts w:ascii="Book Antiqua" w:hAnsi="Book Antiqua"/>
          <w:i/>
          <w:color w:val="000000" w:themeColor="text1"/>
          <w:sz w:val="24"/>
          <w:szCs w:val="32"/>
        </w:rPr>
      </w:pPr>
      <w:r w:rsidRPr="00F86161">
        <w:rPr>
          <w:rFonts w:ascii="Book Antiqua" w:hAnsi="Book Antiqua"/>
          <w:i/>
          <w:color w:val="000000" w:themeColor="text1"/>
          <w:sz w:val="24"/>
          <w:szCs w:val="32"/>
        </w:rPr>
        <w:t xml:space="preserve">Dr </w:t>
      </w:r>
      <w:proofErr w:type="spellStart"/>
      <w:r w:rsidRPr="00F86161">
        <w:rPr>
          <w:rFonts w:ascii="Book Antiqua" w:hAnsi="Book Antiqua"/>
          <w:i/>
          <w:color w:val="000000" w:themeColor="text1"/>
          <w:sz w:val="24"/>
          <w:szCs w:val="32"/>
        </w:rPr>
        <w:t>Zameelah</w:t>
      </w:r>
      <w:proofErr w:type="spellEnd"/>
      <w:r w:rsidRPr="00F86161">
        <w:rPr>
          <w:rFonts w:ascii="Book Antiqua" w:hAnsi="Book Antiqua"/>
          <w:i/>
          <w:color w:val="000000" w:themeColor="text1"/>
          <w:sz w:val="24"/>
          <w:szCs w:val="32"/>
        </w:rPr>
        <w:t xml:space="preserve"> Khan </w:t>
      </w:r>
      <w:proofErr w:type="spellStart"/>
      <w:r w:rsidRPr="00F86161">
        <w:rPr>
          <w:rFonts w:ascii="Book Antiqua" w:hAnsi="Book Antiqua"/>
          <w:i/>
          <w:color w:val="000000" w:themeColor="text1"/>
          <w:sz w:val="24"/>
          <w:szCs w:val="32"/>
        </w:rPr>
        <w:t>Jaffur</w:t>
      </w:r>
      <w:proofErr w:type="spellEnd"/>
      <w:r w:rsidRPr="00F86161">
        <w:rPr>
          <w:rFonts w:ascii="Book Antiqua" w:hAnsi="Book Antiqua"/>
          <w:i/>
          <w:color w:val="000000" w:themeColor="text1"/>
          <w:sz w:val="24"/>
          <w:szCs w:val="32"/>
        </w:rPr>
        <w:t>, University of Mauritius</w:t>
      </w:r>
    </w:p>
    <w:p w:rsidR="00856BC4" w:rsidRPr="00F86161" w:rsidRDefault="00856BC4" w:rsidP="00856BC4">
      <w:pPr>
        <w:pStyle w:val="Heading1"/>
        <w:ind w:left="426"/>
        <w:rPr>
          <w:rFonts w:asciiTheme="minorHAnsi" w:hAnsiTheme="minorHAnsi" w:cstheme="minorHAnsi"/>
          <w:b/>
          <w:color w:val="auto"/>
        </w:rPr>
      </w:pPr>
      <w:bookmarkStart w:id="1" w:name="_Toc67289215"/>
      <w:r w:rsidRPr="00F86161">
        <w:rPr>
          <w:rFonts w:asciiTheme="minorHAnsi" w:hAnsiTheme="minorHAnsi" w:cstheme="minorHAnsi"/>
          <w:b/>
          <w:color w:val="auto"/>
        </w:rPr>
        <w:t>Executive Summary</w:t>
      </w:r>
      <w:bookmarkEnd w:id="1"/>
    </w:p>
    <w:p w:rsidR="00856BC4" w:rsidRPr="00CE4910" w:rsidRDefault="00856BC4" w:rsidP="00856BC4">
      <w:pPr>
        <w:jc w:val="both"/>
        <w:rPr>
          <w:sz w:val="24"/>
        </w:rPr>
      </w:pPr>
    </w:p>
    <w:p w:rsidR="00856BC4" w:rsidRPr="00CE4910" w:rsidRDefault="00856BC4" w:rsidP="00856BC4">
      <w:pPr>
        <w:jc w:val="both"/>
        <w:rPr>
          <w:sz w:val="24"/>
        </w:rPr>
      </w:pPr>
      <w:r w:rsidRPr="00CE4910">
        <w:rPr>
          <w:sz w:val="24"/>
        </w:rPr>
        <w:t xml:space="preserve">Mauritius had its first three COVID-19 cases on 18 March 2020 and the island was under "sanitary" lockdown for two weeks.  From 24 to 31 March, the country went under complete lockdown with only essential services being open. This lockdown was extended until 15 April, </w:t>
      </w:r>
      <w:r w:rsidRPr="00CE4910">
        <w:rPr>
          <w:sz w:val="24"/>
        </w:rPr>
        <w:lastRenderedPageBreak/>
        <w:t>then again until 4 May and finally a third time on 1 June, with a gradual reopening of certain economic sectors starting from 15 May. The lockdown was lifted entirely on 15 June. Mauritius had a contamination rate below the WHO forecasts. The WHO predicted more than 20,000 cases and 1,139 deaths in the age group of over 60 years</w:t>
      </w:r>
      <w:r>
        <w:rPr>
          <w:sz w:val="24"/>
        </w:rPr>
        <w:t xml:space="preserve"> (WHO, 2020)</w:t>
      </w:r>
      <w:r w:rsidRPr="00CE4910">
        <w:rPr>
          <w:sz w:val="24"/>
        </w:rPr>
        <w:t xml:space="preserve">. At the end of May 2020, the island had recorded 332 coronavirus confirmed cases, all recovered, and 10 deaths. With less than 3% of the population infected, Mauritius is one of the few jurisdictions in the Indian Ocean which has been able to control the progress of the pandemic. Mauritius has been COVID-19 free with no local cases since 26 April 2020.  The island had only one local case in November 2020. </w:t>
      </w:r>
    </w:p>
    <w:p w:rsidR="00856BC4" w:rsidRPr="00CE4910" w:rsidRDefault="00856BC4" w:rsidP="00856BC4">
      <w:pPr>
        <w:jc w:val="both"/>
        <w:rPr>
          <w:sz w:val="24"/>
        </w:rPr>
      </w:pPr>
      <w:r w:rsidRPr="00CE4910">
        <w:rPr>
          <w:sz w:val="24"/>
        </w:rPr>
        <w:t>However, at the time of writing, we are presently facing a second wave of the COVID-19 pandemic with 1</w:t>
      </w:r>
      <w:r>
        <w:rPr>
          <w:sz w:val="24"/>
        </w:rPr>
        <w:t>98</w:t>
      </w:r>
      <w:r w:rsidRPr="00CE4910">
        <w:rPr>
          <w:sz w:val="24"/>
        </w:rPr>
        <w:t xml:space="preserve"> additional local cases, totalling </w:t>
      </w:r>
      <w:r>
        <w:rPr>
          <w:rFonts w:cstheme="minorHAnsi"/>
          <w:sz w:val="24"/>
        </w:rPr>
        <w:t>829</w:t>
      </w:r>
      <w:r w:rsidRPr="00463130">
        <w:rPr>
          <w:rFonts w:cstheme="minorHAnsi"/>
          <w:sz w:val="24"/>
        </w:rPr>
        <w:t xml:space="preserve"> cases as at </w:t>
      </w:r>
      <w:r>
        <w:rPr>
          <w:rFonts w:cstheme="minorHAnsi"/>
          <w:sz w:val="24"/>
        </w:rPr>
        <w:t>22</w:t>
      </w:r>
      <w:r w:rsidRPr="00463130">
        <w:rPr>
          <w:rFonts w:cstheme="minorHAnsi"/>
          <w:sz w:val="24"/>
        </w:rPr>
        <w:t xml:space="preserve"> March 2021</w:t>
      </w:r>
      <w:r w:rsidRPr="00CE4910">
        <w:rPr>
          <w:sz w:val="24"/>
        </w:rPr>
        <w:t xml:space="preserve">.  Travel restrictions and sanitary measures are in place to contain the spread of the virus.  During the COVID-19 pandemic, the Government came up with major economic and social policies to assist businesses, employees in the private sector as well as informal workers.  These strategies </w:t>
      </w:r>
      <w:r>
        <w:rPr>
          <w:sz w:val="24"/>
        </w:rPr>
        <w:t>aimed to ensure that the island becomes</w:t>
      </w:r>
      <w:r w:rsidRPr="00CE4910">
        <w:rPr>
          <w:sz w:val="24"/>
        </w:rPr>
        <w:t xml:space="preserve"> more resilient to the crisis and protect businesses as well as workers.  The impact of the pandemic has been felt and will continue </w:t>
      </w:r>
      <w:r>
        <w:rPr>
          <w:sz w:val="24"/>
        </w:rPr>
        <w:t>to impact the different</w:t>
      </w:r>
      <w:r w:rsidRPr="00CE4910">
        <w:rPr>
          <w:sz w:val="24"/>
        </w:rPr>
        <w:t xml:space="preserve"> economic sectors in Mauritius.  </w:t>
      </w:r>
    </w:p>
    <w:p w:rsidR="00856BC4" w:rsidRDefault="00856BC4" w:rsidP="00856BC4">
      <w:pPr>
        <w:jc w:val="both"/>
        <w:rPr>
          <w:sz w:val="24"/>
        </w:rPr>
      </w:pPr>
      <w:r w:rsidRPr="00CE4910">
        <w:rPr>
          <w:sz w:val="24"/>
        </w:rPr>
        <w:t xml:space="preserve">This study has been conducted to </w:t>
      </w:r>
      <w:r>
        <w:rPr>
          <w:sz w:val="24"/>
        </w:rPr>
        <w:t xml:space="preserve">probe into the effects of the COVID-19 pandemic on trade, investment and employment in Mauritius.  </w:t>
      </w:r>
      <w:r w:rsidRPr="00CE4910">
        <w:rPr>
          <w:sz w:val="24"/>
        </w:rPr>
        <w:t xml:space="preserve">The study breaks ground as it represents the first comprehensive examination of the </w:t>
      </w:r>
      <w:r>
        <w:rPr>
          <w:sz w:val="24"/>
        </w:rPr>
        <w:t xml:space="preserve">impact of the pandemic on three important dimensions on which Mauritius is highly dependent namely, trade, investment and employment.  </w:t>
      </w:r>
      <w:r w:rsidRPr="00CE4910">
        <w:rPr>
          <w:sz w:val="24"/>
        </w:rPr>
        <w:t xml:space="preserve">The </w:t>
      </w:r>
      <w:r>
        <w:rPr>
          <w:sz w:val="24"/>
        </w:rPr>
        <w:t>report</w:t>
      </w:r>
      <w:r w:rsidRPr="00CE4910">
        <w:rPr>
          <w:sz w:val="24"/>
        </w:rPr>
        <w:t xml:space="preserve"> is divided into t</w:t>
      </w:r>
      <w:r>
        <w:rPr>
          <w:sz w:val="24"/>
        </w:rPr>
        <w:t>hree</w:t>
      </w:r>
      <w:r w:rsidRPr="00CE4910">
        <w:rPr>
          <w:sz w:val="24"/>
        </w:rPr>
        <w:t xml:space="preserve"> parts. The first consists o</w:t>
      </w:r>
      <w:r>
        <w:rPr>
          <w:sz w:val="24"/>
        </w:rPr>
        <w:t xml:space="preserve">f an assessment of the pandemic on employment across a sample of 300 firms operating in different sectors of Mauritius sampled over the period November 2020 to January 2021.  The quantitative analysis was also supported by Focus Group Discussions with heads of associations across different economic sectors.  The second part of the report probes into the impact of COVID-19 on trade (both exports and imports) in different goods and services while the third part of the report focusses on the FDI situation during the pandemic using both secondary data as well as a survey on 70 investors in different economic activities in Mauritius.  </w:t>
      </w:r>
    </w:p>
    <w:p w:rsidR="00856BC4" w:rsidRDefault="00856BC4" w:rsidP="00856BC4">
      <w:pPr>
        <w:jc w:val="both"/>
        <w:rPr>
          <w:sz w:val="24"/>
        </w:rPr>
      </w:pPr>
      <w:r w:rsidRPr="00495705">
        <w:rPr>
          <w:sz w:val="24"/>
        </w:rPr>
        <w:t xml:space="preserve">The </w:t>
      </w:r>
      <w:r>
        <w:rPr>
          <w:sz w:val="24"/>
        </w:rPr>
        <w:t>key</w:t>
      </w:r>
      <w:r w:rsidRPr="00495705">
        <w:rPr>
          <w:sz w:val="24"/>
        </w:rPr>
        <w:t xml:space="preserve"> findings of the study</w:t>
      </w:r>
      <w:r>
        <w:rPr>
          <w:sz w:val="24"/>
        </w:rPr>
        <w:t xml:space="preserve"> can be summarised as follows:</w:t>
      </w:r>
    </w:p>
    <w:p w:rsidR="00856BC4" w:rsidRPr="00495705" w:rsidRDefault="00856BC4" w:rsidP="00856BC4">
      <w:pPr>
        <w:tabs>
          <w:tab w:val="left" w:pos="6900"/>
        </w:tabs>
        <w:jc w:val="both"/>
        <w:rPr>
          <w:b/>
          <w:sz w:val="24"/>
        </w:rPr>
      </w:pPr>
      <w:r w:rsidRPr="00495705">
        <w:rPr>
          <w:b/>
          <w:sz w:val="24"/>
        </w:rPr>
        <w:t>Impact of COVID-19 on Employment</w:t>
      </w:r>
      <w:r>
        <w:rPr>
          <w:b/>
          <w:sz w:val="24"/>
        </w:rPr>
        <w:t xml:space="preserve"> based on Firm Survey Results</w:t>
      </w:r>
      <w:r>
        <w:rPr>
          <w:b/>
          <w:sz w:val="24"/>
        </w:rPr>
        <w:tab/>
      </w:r>
    </w:p>
    <w:p w:rsidR="00856BC4" w:rsidRDefault="00856BC4" w:rsidP="00856BC4">
      <w:pPr>
        <w:pStyle w:val="ListParagraph"/>
        <w:numPr>
          <w:ilvl w:val="0"/>
          <w:numId w:val="1"/>
        </w:numPr>
        <w:shd w:val="clear" w:color="auto" w:fill="FFFFFF"/>
        <w:spacing w:after="0" w:line="240" w:lineRule="auto"/>
        <w:jc w:val="both"/>
        <w:rPr>
          <w:rFonts w:eastAsia="Times New Roman" w:cstheme="minorHAnsi"/>
          <w:sz w:val="24"/>
          <w:szCs w:val="24"/>
        </w:rPr>
      </w:pPr>
      <w:r>
        <w:rPr>
          <w:rFonts w:eastAsia="Times New Roman" w:cstheme="minorHAnsi"/>
          <w:sz w:val="24"/>
          <w:szCs w:val="24"/>
        </w:rPr>
        <w:t xml:space="preserve">Since the outbreak of the pandemic and first reported COVID-19 cases in Mauritius, </w:t>
      </w:r>
      <w:r w:rsidRPr="0058184A">
        <w:rPr>
          <w:rFonts w:eastAsia="Times New Roman" w:cstheme="minorHAnsi"/>
          <w:sz w:val="24"/>
          <w:szCs w:val="24"/>
        </w:rPr>
        <w:t>81%</w:t>
      </w:r>
      <w:r>
        <w:rPr>
          <w:rFonts w:eastAsia="Times New Roman" w:cstheme="minorHAnsi"/>
          <w:sz w:val="24"/>
          <w:szCs w:val="24"/>
        </w:rPr>
        <w:t xml:space="preserve"> of firms surveyed reported</w:t>
      </w:r>
      <w:r w:rsidRPr="0058184A">
        <w:rPr>
          <w:rFonts w:eastAsia="Times New Roman" w:cstheme="minorHAnsi"/>
          <w:sz w:val="24"/>
          <w:szCs w:val="24"/>
        </w:rPr>
        <w:t xml:space="preserve"> a severe contraction in the</w:t>
      </w:r>
      <w:r>
        <w:rPr>
          <w:rFonts w:eastAsia="Times New Roman" w:cstheme="minorHAnsi"/>
          <w:sz w:val="24"/>
          <w:szCs w:val="24"/>
        </w:rPr>
        <w:t>ir</w:t>
      </w:r>
      <w:r w:rsidRPr="0058184A">
        <w:rPr>
          <w:rFonts w:eastAsia="Times New Roman" w:cstheme="minorHAnsi"/>
          <w:sz w:val="24"/>
          <w:szCs w:val="24"/>
        </w:rPr>
        <w:t xml:space="preserve"> activities </w:t>
      </w:r>
    </w:p>
    <w:p w:rsidR="00856BC4" w:rsidRDefault="00856BC4" w:rsidP="00856BC4">
      <w:pPr>
        <w:pStyle w:val="ListParagraph"/>
        <w:numPr>
          <w:ilvl w:val="0"/>
          <w:numId w:val="1"/>
        </w:numPr>
        <w:shd w:val="clear" w:color="auto" w:fill="FFFFFF"/>
        <w:spacing w:after="0" w:line="240" w:lineRule="auto"/>
        <w:jc w:val="both"/>
        <w:rPr>
          <w:rFonts w:eastAsia="Times New Roman" w:cstheme="minorHAnsi"/>
          <w:sz w:val="24"/>
          <w:szCs w:val="24"/>
        </w:rPr>
      </w:pPr>
      <w:r>
        <w:rPr>
          <w:rFonts w:eastAsia="Times New Roman" w:cstheme="minorHAnsi"/>
          <w:sz w:val="24"/>
          <w:szCs w:val="24"/>
        </w:rPr>
        <w:t>A</w:t>
      </w:r>
      <w:r w:rsidRPr="0058184A">
        <w:rPr>
          <w:rFonts w:eastAsia="Times New Roman" w:cstheme="minorHAnsi"/>
          <w:sz w:val="24"/>
          <w:szCs w:val="24"/>
        </w:rPr>
        <w:t xml:space="preserve">round 42% </w:t>
      </w:r>
      <w:r>
        <w:rPr>
          <w:rFonts w:eastAsia="Times New Roman" w:cstheme="minorHAnsi"/>
          <w:sz w:val="24"/>
          <w:szCs w:val="24"/>
        </w:rPr>
        <w:t>stated</w:t>
      </w:r>
      <w:r w:rsidRPr="0058184A">
        <w:rPr>
          <w:rFonts w:eastAsia="Times New Roman" w:cstheme="minorHAnsi"/>
          <w:sz w:val="24"/>
          <w:szCs w:val="24"/>
        </w:rPr>
        <w:t xml:space="preserve"> that there would be a severe or moderate contraction in their activities </w:t>
      </w:r>
      <w:r>
        <w:rPr>
          <w:rFonts w:eastAsia="Times New Roman" w:cstheme="minorHAnsi"/>
          <w:sz w:val="24"/>
          <w:szCs w:val="24"/>
        </w:rPr>
        <w:t>in the next 12 months till December 2021</w:t>
      </w:r>
      <w:r w:rsidRPr="0058184A">
        <w:rPr>
          <w:rFonts w:eastAsia="Times New Roman" w:cstheme="minorHAnsi"/>
          <w:sz w:val="24"/>
          <w:szCs w:val="24"/>
        </w:rPr>
        <w:t xml:space="preserve">.  </w:t>
      </w:r>
      <w:r>
        <w:rPr>
          <w:rFonts w:eastAsia="Times New Roman" w:cstheme="minorHAnsi"/>
          <w:sz w:val="24"/>
          <w:szCs w:val="24"/>
        </w:rPr>
        <w:t xml:space="preserve">Since the survey was completed in January 2021, it did not capture the second wave of COVID-19 which took place in March 2021.  </w:t>
      </w:r>
    </w:p>
    <w:p w:rsidR="00856BC4" w:rsidRDefault="00856BC4" w:rsidP="00856BC4">
      <w:pPr>
        <w:pStyle w:val="ListParagraph"/>
        <w:numPr>
          <w:ilvl w:val="0"/>
          <w:numId w:val="1"/>
        </w:numPr>
        <w:shd w:val="clear" w:color="auto" w:fill="FFFFFF"/>
        <w:spacing w:after="0" w:line="240" w:lineRule="auto"/>
        <w:jc w:val="both"/>
        <w:rPr>
          <w:rFonts w:eastAsia="Times New Roman" w:cstheme="minorHAnsi"/>
          <w:sz w:val="24"/>
          <w:szCs w:val="24"/>
        </w:rPr>
      </w:pPr>
      <w:r>
        <w:rPr>
          <w:rFonts w:eastAsia="Times New Roman" w:cstheme="minorHAnsi"/>
          <w:sz w:val="24"/>
          <w:szCs w:val="24"/>
        </w:rPr>
        <w:t xml:space="preserve">Almost </w:t>
      </w:r>
      <w:r w:rsidRPr="00DD4194">
        <w:rPr>
          <w:rFonts w:eastAsia="Times New Roman" w:cstheme="minorHAnsi"/>
          <w:sz w:val="24"/>
          <w:szCs w:val="24"/>
        </w:rPr>
        <w:t xml:space="preserve">31% of firms are expecting a severe contraction in their profits </w:t>
      </w:r>
      <w:r>
        <w:rPr>
          <w:rFonts w:eastAsia="Times New Roman" w:cstheme="minorHAnsi"/>
          <w:sz w:val="24"/>
          <w:szCs w:val="24"/>
        </w:rPr>
        <w:t>in 2021</w:t>
      </w:r>
      <w:r w:rsidRPr="00DD4194">
        <w:rPr>
          <w:rFonts w:eastAsia="Times New Roman" w:cstheme="minorHAnsi"/>
          <w:sz w:val="24"/>
          <w:szCs w:val="24"/>
        </w:rPr>
        <w:t xml:space="preserve">, while </w:t>
      </w:r>
      <w:r>
        <w:rPr>
          <w:rFonts w:eastAsia="Times New Roman" w:cstheme="minorHAnsi"/>
          <w:sz w:val="24"/>
          <w:szCs w:val="24"/>
        </w:rPr>
        <w:t>25</w:t>
      </w:r>
      <w:r w:rsidRPr="00DD4194">
        <w:rPr>
          <w:rFonts w:eastAsia="Times New Roman" w:cstheme="minorHAnsi"/>
          <w:sz w:val="24"/>
          <w:szCs w:val="24"/>
        </w:rPr>
        <w:t xml:space="preserve">% forecast a moderate contraction.  </w:t>
      </w:r>
    </w:p>
    <w:p w:rsidR="00856BC4" w:rsidRDefault="00856BC4" w:rsidP="00856BC4">
      <w:pPr>
        <w:pStyle w:val="ListParagraph"/>
        <w:numPr>
          <w:ilvl w:val="0"/>
          <w:numId w:val="1"/>
        </w:numPr>
        <w:shd w:val="clear" w:color="auto" w:fill="FFFFFF"/>
        <w:spacing w:after="0" w:line="240" w:lineRule="auto"/>
        <w:jc w:val="both"/>
        <w:rPr>
          <w:rFonts w:eastAsia="Times New Roman" w:cstheme="minorHAnsi"/>
          <w:sz w:val="24"/>
          <w:szCs w:val="24"/>
        </w:rPr>
      </w:pPr>
      <w:r w:rsidRPr="00DD4194">
        <w:rPr>
          <w:rFonts w:eastAsia="Times New Roman" w:cstheme="minorHAnsi"/>
          <w:sz w:val="24"/>
          <w:szCs w:val="24"/>
        </w:rPr>
        <w:t xml:space="preserve">In terms of investment, 15% expect a severe decline in investment.  </w:t>
      </w:r>
    </w:p>
    <w:p w:rsidR="00856BC4" w:rsidRDefault="00856BC4" w:rsidP="00856BC4">
      <w:pPr>
        <w:pStyle w:val="ListParagraph"/>
        <w:numPr>
          <w:ilvl w:val="0"/>
          <w:numId w:val="1"/>
        </w:numPr>
        <w:shd w:val="clear" w:color="auto" w:fill="FFFFFF"/>
        <w:spacing w:after="0" w:line="240" w:lineRule="auto"/>
        <w:jc w:val="both"/>
        <w:rPr>
          <w:rFonts w:eastAsia="Times New Roman" w:cstheme="minorHAnsi"/>
          <w:sz w:val="24"/>
          <w:szCs w:val="24"/>
        </w:rPr>
      </w:pPr>
      <w:r w:rsidRPr="00DD4194">
        <w:rPr>
          <w:rFonts w:eastAsia="Times New Roman" w:cstheme="minorHAnsi"/>
          <w:sz w:val="24"/>
          <w:szCs w:val="24"/>
        </w:rPr>
        <w:t xml:space="preserve">Domestic sales in 2021 is expected to fall considerably for </w:t>
      </w:r>
      <w:r>
        <w:rPr>
          <w:rFonts w:eastAsia="Times New Roman" w:cstheme="minorHAnsi"/>
          <w:sz w:val="24"/>
          <w:szCs w:val="24"/>
        </w:rPr>
        <w:t>23</w:t>
      </w:r>
      <w:r w:rsidRPr="00DD4194">
        <w:rPr>
          <w:rFonts w:eastAsia="Times New Roman" w:cstheme="minorHAnsi"/>
          <w:sz w:val="24"/>
          <w:szCs w:val="24"/>
        </w:rPr>
        <w:t xml:space="preserve">% firms compared to a moderate </w:t>
      </w:r>
      <w:r>
        <w:rPr>
          <w:rFonts w:eastAsia="Times New Roman" w:cstheme="minorHAnsi"/>
          <w:sz w:val="24"/>
          <w:szCs w:val="24"/>
        </w:rPr>
        <w:t>contraction for 22% of enterprises surveyed.</w:t>
      </w:r>
    </w:p>
    <w:p w:rsidR="00856BC4" w:rsidRDefault="00856BC4" w:rsidP="00856BC4">
      <w:pPr>
        <w:pStyle w:val="ListParagraph"/>
        <w:numPr>
          <w:ilvl w:val="0"/>
          <w:numId w:val="1"/>
        </w:numPr>
        <w:shd w:val="clear" w:color="auto" w:fill="FFFFFF"/>
        <w:spacing w:after="0" w:line="240" w:lineRule="auto"/>
        <w:jc w:val="both"/>
        <w:rPr>
          <w:rFonts w:eastAsia="Times New Roman" w:cstheme="minorHAnsi"/>
          <w:sz w:val="24"/>
          <w:szCs w:val="24"/>
        </w:rPr>
      </w:pPr>
      <w:r>
        <w:rPr>
          <w:rFonts w:eastAsia="Times New Roman" w:cstheme="minorHAnsi"/>
          <w:sz w:val="24"/>
          <w:szCs w:val="24"/>
        </w:rPr>
        <w:lastRenderedPageBreak/>
        <w:t>Around 31</w:t>
      </w:r>
      <w:r w:rsidRPr="006F6FF3">
        <w:rPr>
          <w:rFonts w:eastAsia="Times New Roman" w:cstheme="minorHAnsi"/>
          <w:sz w:val="24"/>
          <w:szCs w:val="24"/>
        </w:rPr>
        <w:t xml:space="preserve">% of enterprises stated that they may actually close down </w:t>
      </w:r>
    </w:p>
    <w:p w:rsidR="00856BC4" w:rsidRDefault="00856BC4" w:rsidP="00856BC4">
      <w:pPr>
        <w:pStyle w:val="ListParagraph"/>
        <w:numPr>
          <w:ilvl w:val="0"/>
          <w:numId w:val="1"/>
        </w:numPr>
        <w:shd w:val="clear" w:color="auto" w:fill="FFFFFF"/>
        <w:spacing w:after="0" w:line="240" w:lineRule="auto"/>
        <w:jc w:val="both"/>
        <w:rPr>
          <w:rFonts w:eastAsia="Times New Roman" w:cstheme="minorHAnsi"/>
          <w:sz w:val="24"/>
          <w:szCs w:val="24"/>
        </w:rPr>
      </w:pPr>
      <w:r w:rsidRPr="00CE3741">
        <w:rPr>
          <w:rFonts w:eastAsia="Times New Roman" w:cstheme="minorHAnsi"/>
          <w:sz w:val="24"/>
          <w:szCs w:val="24"/>
        </w:rPr>
        <w:t xml:space="preserve">The risk of </w:t>
      </w:r>
      <w:r>
        <w:rPr>
          <w:rFonts w:eastAsia="Times New Roman" w:cstheme="minorHAnsi"/>
          <w:sz w:val="24"/>
          <w:szCs w:val="24"/>
        </w:rPr>
        <w:t xml:space="preserve">closure tends to be higher for firms who produce essentially for the domestic market.  </w:t>
      </w:r>
    </w:p>
    <w:p w:rsidR="00856BC4" w:rsidRDefault="00856BC4" w:rsidP="00856BC4">
      <w:pPr>
        <w:pStyle w:val="ListParagraph"/>
        <w:numPr>
          <w:ilvl w:val="0"/>
          <w:numId w:val="1"/>
        </w:numPr>
        <w:shd w:val="clear" w:color="auto" w:fill="FFFFFF"/>
        <w:spacing w:after="0" w:line="240" w:lineRule="auto"/>
        <w:jc w:val="both"/>
        <w:rPr>
          <w:rFonts w:eastAsia="Times New Roman" w:cstheme="minorHAnsi"/>
          <w:sz w:val="24"/>
          <w:szCs w:val="24"/>
        </w:rPr>
      </w:pPr>
      <w:r>
        <w:rPr>
          <w:rFonts w:eastAsia="Times New Roman" w:cstheme="minorHAnsi"/>
          <w:sz w:val="24"/>
          <w:szCs w:val="24"/>
        </w:rPr>
        <w:t xml:space="preserve">A higher percentage of firms having 10 or less employees are likely to close down (33.3%) compared to those having around 11 to 50 employees (31.0%) and those having more than 50 workers (21.4%).  </w:t>
      </w:r>
    </w:p>
    <w:p w:rsidR="00856BC4" w:rsidRPr="002F4173" w:rsidRDefault="00856BC4" w:rsidP="00856BC4">
      <w:pPr>
        <w:pStyle w:val="ListParagraph"/>
        <w:numPr>
          <w:ilvl w:val="0"/>
          <w:numId w:val="1"/>
        </w:numPr>
        <w:shd w:val="clear" w:color="auto" w:fill="FFFFFF"/>
        <w:spacing w:after="0" w:line="240" w:lineRule="auto"/>
        <w:jc w:val="both"/>
        <w:rPr>
          <w:rFonts w:eastAsia="Times New Roman" w:cstheme="minorHAnsi"/>
          <w:sz w:val="24"/>
          <w:szCs w:val="24"/>
        </w:rPr>
      </w:pPr>
      <w:r w:rsidRPr="006F6FF3">
        <w:rPr>
          <w:rFonts w:eastAsia="Times New Roman" w:cstheme="minorHAnsi"/>
          <w:sz w:val="24"/>
          <w:szCs w:val="24"/>
        </w:rPr>
        <w:t xml:space="preserve">Among female heads of business, 40% reported there is a risk of closure compared to 30.4% of male heads.   </w:t>
      </w:r>
    </w:p>
    <w:p w:rsidR="00856BC4" w:rsidRDefault="00856BC4" w:rsidP="00856BC4">
      <w:pPr>
        <w:pStyle w:val="ListParagraph"/>
        <w:numPr>
          <w:ilvl w:val="0"/>
          <w:numId w:val="1"/>
        </w:numPr>
        <w:shd w:val="clear" w:color="auto" w:fill="FFFFFF"/>
        <w:spacing w:after="0" w:line="240" w:lineRule="auto"/>
        <w:jc w:val="both"/>
        <w:rPr>
          <w:rFonts w:eastAsia="Times New Roman" w:cstheme="minorHAnsi"/>
          <w:sz w:val="24"/>
          <w:szCs w:val="24"/>
        </w:rPr>
      </w:pPr>
      <w:r w:rsidRPr="005358B0">
        <w:rPr>
          <w:rFonts w:eastAsia="Times New Roman" w:cstheme="minorHAnsi"/>
          <w:sz w:val="24"/>
          <w:szCs w:val="24"/>
        </w:rPr>
        <w:t xml:space="preserve">Around </w:t>
      </w:r>
      <w:r>
        <w:rPr>
          <w:rFonts w:eastAsia="Times New Roman" w:cstheme="minorHAnsi"/>
          <w:sz w:val="24"/>
          <w:szCs w:val="24"/>
        </w:rPr>
        <w:t>10</w:t>
      </w:r>
      <w:r w:rsidRPr="005358B0">
        <w:rPr>
          <w:rFonts w:eastAsia="Times New Roman" w:cstheme="minorHAnsi"/>
          <w:sz w:val="24"/>
          <w:szCs w:val="24"/>
        </w:rPr>
        <w:t>% of enterprises</w:t>
      </w:r>
      <w:r>
        <w:rPr>
          <w:rFonts w:eastAsia="Times New Roman" w:cstheme="minorHAnsi"/>
          <w:sz w:val="24"/>
          <w:szCs w:val="24"/>
        </w:rPr>
        <w:t xml:space="preserve"> in the survey have</w:t>
      </w:r>
      <w:r w:rsidRPr="005358B0">
        <w:rPr>
          <w:rFonts w:eastAsia="Times New Roman" w:cstheme="minorHAnsi"/>
          <w:sz w:val="24"/>
          <w:szCs w:val="24"/>
        </w:rPr>
        <w:t xml:space="preserve"> dismissed workers.  </w:t>
      </w:r>
    </w:p>
    <w:p w:rsidR="00856BC4" w:rsidRDefault="00856BC4" w:rsidP="00856BC4">
      <w:pPr>
        <w:pStyle w:val="ListParagraph"/>
        <w:numPr>
          <w:ilvl w:val="0"/>
          <w:numId w:val="1"/>
        </w:numPr>
        <w:shd w:val="clear" w:color="auto" w:fill="FFFFFF"/>
        <w:spacing w:after="0" w:line="240" w:lineRule="auto"/>
        <w:jc w:val="both"/>
        <w:rPr>
          <w:rFonts w:eastAsia="Times New Roman" w:cstheme="minorHAnsi"/>
          <w:sz w:val="24"/>
          <w:szCs w:val="24"/>
        </w:rPr>
      </w:pPr>
      <w:r w:rsidRPr="005358B0">
        <w:rPr>
          <w:rFonts w:eastAsia="Times New Roman" w:cstheme="minorHAnsi"/>
          <w:sz w:val="24"/>
          <w:szCs w:val="24"/>
        </w:rPr>
        <w:t>Dismissal tends to be essentially across firms with more than 50 employees (i.e. 21%)</w:t>
      </w:r>
      <w:r>
        <w:rPr>
          <w:rFonts w:eastAsia="Times New Roman" w:cstheme="minorHAnsi"/>
          <w:sz w:val="24"/>
          <w:szCs w:val="24"/>
        </w:rPr>
        <w:t xml:space="preserve"> – large firms</w:t>
      </w:r>
      <w:r w:rsidRPr="005358B0">
        <w:rPr>
          <w:rFonts w:eastAsia="Times New Roman" w:cstheme="minorHAnsi"/>
          <w:sz w:val="24"/>
          <w:szCs w:val="24"/>
        </w:rPr>
        <w:t xml:space="preserve">.  </w:t>
      </w:r>
    </w:p>
    <w:p w:rsidR="00856BC4" w:rsidRPr="005358B0" w:rsidRDefault="00856BC4" w:rsidP="00856BC4">
      <w:pPr>
        <w:pStyle w:val="ListParagraph"/>
        <w:numPr>
          <w:ilvl w:val="0"/>
          <w:numId w:val="1"/>
        </w:numPr>
        <w:shd w:val="clear" w:color="auto" w:fill="FFFFFF"/>
        <w:spacing w:after="0" w:line="240" w:lineRule="auto"/>
        <w:jc w:val="both"/>
        <w:rPr>
          <w:rFonts w:eastAsia="Times New Roman" w:cstheme="minorHAnsi"/>
          <w:sz w:val="24"/>
          <w:szCs w:val="24"/>
        </w:rPr>
      </w:pPr>
      <w:r w:rsidRPr="005358B0">
        <w:rPr>
          <w:rFonts w:eastAsia="Times New Roman" w:cstheme="minorHAnsi"/>
          <w:sz w:val="24"/>
          <w:szCs w:val="24"/>
        </w:rPr>
        <w:t xml:space="preserve">Around </w:t>
      </w:r>
      <w:r>
        <w:rPr>
          <w:rFonts w:eastAsia="Times New Roman" w:cstheme="minorHAnsi"/>
          <w:sz w:val="24"/>
          <w:szCs w:val="24"/>
        </w:rPr>
        <w:t>7</w:t>
      </w:r>
      <w:r w:rsidRPr="005358B0">
        <w:rPr>
          <w:rFonts w:eastAsia="Times New Roman" w:cstheme="minorHAnsi"/>
          <w:sz w:val="24"/>
          <w:szCs w:val="24"/>
        </w:rPr>
        <w:t xml:space="preserve">% of firms with a firm size of 10 or less workers have reduced their workers </w:t>
      </w:r>
      <w:r>
        <w:rPr>
          <w:rFonts w:eastAsia="Times New Roman" w:cstheme="minorHAnsi"/>
          <w:sz w:val="24"/>
          <w:szCs w:val="24"/>
        </w:rPr>
        <w:t>compared to</w:t>
      </w:r>
      <w:r w:rsidRPr="005358B0">
        <w:rPr>
          <w:rFonts w:eastAsia="Times New Roman" w:cstheme="minorHAnsi"/>
          <w:sz w:val="24"/>
          <w:szCs w:val="24"/>
        </w:rPr>
        <w:t xml:space="preserve"> 17% of firms with 11 to 50 workers.  </w:t>
      </w:r>
    </w:p>
    <w:p w:rsidR="00856BC4" w:rsidRDefault="00856BC4" w:rsidP="00856BC4">
      <w:pPr>
        <w:pStyle w:val="ListParagraph"/>
        <w:numPr>
          <w:ilvl w:val="0"/>
          <w:numId w:val="1"/>
        </w:numPr>
        <w:shd w:val="clear" w:color="auto" w:fill="FFFFFF"/>
        <w:autoSpaceDE w:val="0"/>
        <w:autoSpaceDN w:val="0"/>
        <w:adjustRightInd w:val="0"/>
        <w:spacing w:after="0" w:line="240" w:lineRule="auto"/>
        <w:jc w:val="both"/>
        <w:rPr>
          <w:rFonts w:eastAsia="Times New Roman" w:cstheme="minorHAnsi"/>
          <w:sz w:val="24"/>
          <w:szCs w:val="24"/>
        </w:rPr>
      </w:pPr>
      <w:r w:rsidRPr="005358B0">
        <w:rPr>
          <w:rFonts w:eastAsia="Times New Roman" w:cstheme="minorHAnsi"/>
          <w:sz w:val="24"/>
          <w:szCs w:val="24"/>
        </w:rPr>
        <w:t xml:space="preserve">For 22% of firms, there may be a probability of dismissal while for 6.2% it is certain that they will lay off workers in the near future.  </w:t>
      </w:r>
    </w:p>
    <w:p w:rsidR="00856BC4" w:rsidRPr="009821B3" w:rsidRDefault="00856BC4" w:rsidP="00856BC4">
      <w:pPr>
        <w:pStyle w:val="ListParagraph"/>
        <w:numPr>
          <w:ilvl w:val="0"/>
          <w:numId w:val="1"/>
        </w:numPr>
        <w:shd w:val="clear" w:color="auto" w:fill="FFFFFF"/>
        <w:autoSpaceDE w:val="0"/>
        <w:autoSpaceDN w:val="0"/>
        <w:adjustRightInd w:val="0"/>
        <w:spacing w:after="0" w:line="240" w:lineRule="auto"/>
        <w:jc w:val="both"/>
        <w:rPr>
          <w:rFonts w:eastAsia="Times New Roman"/>
          <w:b/>
        </w:rPr>
      </w:pPr>
      <w:r>
        <w:rPr>
          <w:rFonts w:eastAsia="Times New Roman" w:cstheme="minorHAnsi"/>
          <w:sz w:val="24"/>
          <w:szCs w:val="24"/>
        </w:rPr>
        <w:t>A</w:t>
      </w:r>
      <w:r w:rsidRPr="005358B0">
        <w:rPr>
          <w:rFonts w:eastAsia="Times New Roman" w:cstheme="minorHAnsi"/>
          <w:sz w:val="24"/>
          <w:szCs w:val="24"/>
        </w:rPr>
        <w:t xml:space="preserve">round 72% reported that there will be no dismissal of employees.  </w:t>
      </w:r>
    </w:p>
    <w:p w:rsidR="00856BC4" w:rsidRDefault="00856BC4" w:rsidP="00856BC4">
      <w:pPr>
        <w:pStyle w:val="ListParagraph"/>
        <w:numPr>
          <w:ilvl w:val="0"/>
          <w:numId w:val="1"/>
        </w:numPr>
        <w:shd w:val="clear" w:color="auto" w:fill="FFFFFF"/>
        <w:spacing w:after="0" w:line="240" w:lineRule="auto"/>
        <w:jc w:val="both"/>
        <w:rPr>
          <w:rFonts w:eastAsia="Times New Roman" w:cstheme="minorHAnsi"/>
          <w:sz w:val="24"/>
          <w:szCs w:val="24"/>
        </w:rPr>
      </w:pPr>
      <w:r>
        <w:rPr>
          <w:rFonts w:eastAsia="Times New Roman" w:cstheme="minorHAnsi"/>
          <w:sz w:val="24"/>
          <w:szCs w:val="24"/>
        </w:rPr>
        <w:t>I</w:t>
      </w:r>
      <w:r w:rsidRPr="005358B0">
        <w:rPr>
          <w:rFonts w:eastAsia="Times New Roman" w:cstheme="minorHAnsi"/>
          <w:sz w:val="24"/>
          <w:szCs w:val="24"/>
        </w:rPr>
        <w:t xml:space="preserve">n the survey, we note that </w:t>
      </w:r>
      <w:r>
        <w:rPr>
          <w:rFonts w:eastAsia="Times New Roman" w:cstheme="minorHAnsi"/>
          <w:sz w:val="24"/>
          <w:szCs w:val="24"/>
        </w:rPr>
        <w:t>around 24</w:t>
      </w:r>
      <w:r w:rsidRPr="005358B0">
        <w:rPr>
          <w:rFonts w:eastAsia="Times New Roman" w:cstheme="minorHAnsi"/>
          <w:sz w:val="24"/>
          <w:szCs w:val="24"/>
        </w:rPr>
        <w:t xml:space="preserve">% of firms adopted the WFH strategy.  </w:t>
      </w:r>
    </w:p>
    <w:p w:rsidR="00856BC4" w:rsidRPr="005358B0" w:rsidRDefault="00856BC4" w:rsidP="00856BC4">
      <w:pPr>
        <w:pStyle w:val="ListParagraph"/>
        <w:numPr>
          <w:ilvl w:val="0"/>
          <w:numId w:val="1"/>
        </w:numPr>
        <w:shd w:val="clear" w:color="auto" w:fill="FFFFFF"/>
        <w:spacing w:after="0" w:line="240" w:lineRule="auto"/>
        <w:jc w:val="both"/>
        <w:rPr>
          <w:rFonts w:cstheme="minorHAnsi"/>
          <w:color w:val="000000" w:themeColor="text1"/>
          <w:sz w:val="20"/>
          <w:lang w:val="en-US"/>
        </w:rPr>
      </w:pPr>
      <w:r w:rsidRPr="005358B0">
        <w:rPr>
          <w:rFonts w:eastAsia="Times New Roman" w:cstheme="minorHAnsi"/>
          <w:sz w:val="24"/>
          <w:szCs w:val="24"/>
        </w:rPr>
        <w:t xml:space="preserve">WFH has been adopted across 64.3% of firms having more than 50 workers and for 41.4% of firms with a workforce ranging between 11 to 50 employees </w:t>
      </w:r>
    </w:p>
    <w:p w:rsidR="00856BC4" w:rsidRPr="005358B0" w:rsidRDefault="00856BC4" w:rsidP="00856BC4">
      <w:pPr>
        <w:pStyle w:val="ListParagraph"/>
        <w:numPr>
          <w:ilvl w:val="0"/>
          <w:numId w:val="1"/>
        </w:numPr>
        <w:shd w:val="clear" w:color="auto" w:fill="FFFFFF"/>
        <w:spacing w:after="0" w:line="240" w:lineRule="auto"/>
        <w:jc w:val="both"/>
        <w:rPr>
          <w:rFonts w:eastAsia="Times New Roman" w:cstheme="minorHAnsi"/>
          <w:b/>
          <w:sz w:val="24"/>
          <w:szCs w:val="24"/>
        </w:rPr>
      </w:pPr>
      <w:r w:rsidRPr="005358B0">
        <w:rPr>
          <w:rFonts w:eastAsia="Times New Roman" w:cstheme="minorHAnsi"/>
          <w:sz w:val="24"/>
          <w:szCs w:val="24"/>
        </w:rPr>
        <w:t xml:space="preserve">In the sample, 75% of firms were not able to transit to WFH.  Around 13.2% could move to WFH moderately fast while 9.6% adopted this working mode very fast </w:t>
      </w:r>
    </w:p>
    <w:p w:rsidR="00856BC4" w:rsidRDefault="00856BC4" w:rsidP="00856BC4">
      <w:pPr>
        <w:pStyle w:val="ListParagraph"/>
        <w:numPr>
          <w:ilvl w:val="0"/>
          <w:numId w:val="1"/>
        </w:numPr>
        <w:jc w:val="both"/>
        <w:rPr>
          <w:rFonts w:eastAsia="Times New Roman" w:cstheme="minorHAnsi"/>
          <w:sz w:val="24"/>
          <w:szCs w:val="24"/>
        </w:rPr>
      </w:pPr>
      <w:r>
        <w:rPr>
          <w:rFonts w:eastAsia="Times New Roman" w:cstheme="minorHAnsi"/>
          <w:sz w:val="24"/>
          <w:szCs w:val="24"/>
        </w:rPr>
        <w:t>A</w:t>
      </w:r>
      <w:r w:rsidRPr="005358B0">
        <w:rPr>
          <w:rFonts w:eastAsia="Times New Roman" w:cstheme="minorHAnsi"/>
          <w:sz w:val="24"/>
          <w:szCs w:val="24"/>
        </w:rPr>
        <w:t xml:space="preserve">round 15% firms surveyed reported that they adopted restricting and reskilling to survive the COVID-19 pandemic and maintain employment.  </w:t>
      </w:r>
    </w:p>
    <w:p w:rsidR="00856BC4" w:rsidRPr="00D613DE" w:rsidRDefault="00856BC4" w:rsidP="00856BC4">
      <w:pPr>
        <w:pStyle w:val="ListParagraph"/>
        <w:numPr>
          <w:ilvl w:val="0"/>
          <w:numId w:val="1"/>
        </w:numPr>
        <w:shd w:val="clear" w:color="auto" w:fill="FFFFFF"/>
        <w:spacing w:after="0" w:line="240" w:lineRule="auto"/>
        <w:jc w:val="both"/>
        <w:rPr>
          <w:rFonts w:eastAsia="Times New Roman" w:cstheme="minorHAnsi"/>
          <w:sz w:val="24"/>
          <w:szCs w:val="24"/>
        </w:rPr>
      </w:pPr>
      <w:r>
        <w:rPr>
          <w:rFonts w:eastAsia="Times New Roman" w:cstheme="minorHAnsi"/>
          <w:sz w:val="24"/>
          <w:szCs w:val="24"/>
        </w:rPr>
        <w:t>Around 60</w:t>
      </w:r>
      <w:r w:rsidRPr="00D613DE">
        <w:rPr>
          <w:rFonts w:eastAsia="Times New Roman" w:cstheme="minorHAnsi"/>
          <w:sz w:val="24"/>
          <w:szCs w:val="24"/>
        </w:rPr>
        <w:t>% of firms reported that the policy measures</w:t>
      </w:r>
      <w:r>
        <w:rPr>
          <w:rFonts w:eastAsia="Times New Roman" w:cstheme="minorHAnsi"/>
          <w:sz w:val="24"/>
          <w:szCs w:val="24"/>
        </w:rPr>
        <w:t xml:space="preserve"> put in place by Government</w:t>
      </w:r>
      <w:r w:rsidRPr="00D613DE">
        <w:rPr>
          <w:rFonts w:eastAsia="Times New Roman" w:cstheme="minorHAnsi"/>
          <w:sz w:val="24"/>
          <w:szCs w:val="24"/>
        </w:rPr>
        <w:t xml:space="preserve"> were helpful.</w:t>
      </w:r>
    </w:p>
    <w:p w:rsidR="00856BC4" w:rsidRDefault="00856BC4" w:rsidP="00856BC4">
      <w:pPr>
        <w:jc w:val="both"/>
        <w:rPr>
          <w:b/>
          <w:sz w:val="24"/>
          <w:highlight w:val="yellow"/>
        </w:rPr>
      </w:pPr>
    </w:p>
    <w:p w:rsidR="00856BC4" w:rsidRDefault="00856BC4" w:rsidP="00856BC4">
      <w:pPr>
        <w:tabs>
          <w:tab w:val="left" w:pos="6900"/>
        </w:tabs>
        <w:jc w:val="both"/>
        <w:rPr>
          <w:b/>
          <w:sz w:val="24"/>
        </w:rPr>
      </w:pPr>
      <w:r w:rsidRPr="007053FA">
        <w:rPr>
          <w:b/>
          <w:sz w:val="24"/>
        </w:rPr>
        <w:t>Impact of COVID-19 on Trade</w:t>
      </w:r>
    </w:p>
    <w:p w:rsidR="00856BC4" w:rsidRDefault="00856BC4" w:rsidP="00856BC4">
      <w:pPr>
        <w:pStyle w:val="ListParagraph"/>
        <w:numPr>
          <w:ilvl w:val="0"/>
          <w:numId w:val="1"/>
        </w:numPr>
        <w:shd w:val="clear" w:color="auto" w:fill="FFFFFF"/>
        <w:spacing w:after="0" w:line="240" w:lineRule="auto"/>
        <w:jc w:val="both"/>
        <w:rPr>
          <w:rFonts w:eastAsia="Times New Roman" w:cstheme="minorHAnsi"/>
          <w:sz w:val="24"/>
          <w:szCs w:val="24"/>
        </w:rPr>
      </w:pPr>
      <w:r>
        <w:rPr>
          <w:rFonts w:eastAsia="Times New Roman" w:cstheme="minorHAnsi"/>
          <w:sz w:val="24"/>
          <w:szCs w:val="24"/>
        </w:rPr>
        <w:t>As compared to the same period the previous year (January 2019-June 2019), a decline can be observed in the import/export trade values in both the main trading partners and sectors.</w:t>
      </w:r>
    </w:p>
    <w:p w:rsidR="00856BC4" w:rsidRDefault="00856BC4" w:rsidP="00856BC4">
      <w:pPr>
        <w:pStyle w:val="ListParagraph"/>
        <w:numPr>
          <w:ilvl w:val="0"/>
          <w:numId w:val="1"/>
        </w:numPr>
        <w:shd w:val="clear" w:color="auto" w:fill="FFFFFF"/>
        <w:spacing w:after="0" w:line="240" w:lineRule="auto"/>
        <w:jc w:val="both"/>
        <w:rPr>
          <w:rFonts w:eastAsia="Times New Roman" w:cstheme="minorHAnsi"/>
          <w:sz w:val="24"/>
          <w:szCs w:val="24"/>
        </w:rPr>
      </w:pPr>
      <w:r>
        <w:rPr>
          <w:rFonts w:eastAsia="Times New Roman" w:cstheme="minorHAnsi"/>
          <w:sz w:val="24"/>
          <w:szCs w:val="24"/>
        </w:rPr>
        <w:t>In particular, in most cases, observed (real) values were less than those predicted by the optimal forecast models.</w:t>
      </w:r>
    </w:p>
    <w:p w:rsidR="00856BC4" w:rsidRDefault="00856BC4" w:rsidP="00856BC4">
      <w:pPr>
        <w:pStyle w:val="ListParagraph"/>
        <w:numPr>
          <w:ilvl w:val="0"/>
          <w:numId w:val="1"/>
        </w:numPr>
        <w:shd w:val="clear" w:color="auto" w:fill="FFFFFF"/>
        <w:spacing w:after="0" w:line="240" w:lineRule="auto"/>
        <w:jc w:val="both"/>
        <w:rPr>
          <w:rFonts w:eastAsia="Times New Roman" w:cstheme="minorHAnsi"/>
          <w:sz w:val="24"/>
          <w:szCs w:val="24"/>
        </w:rPr>
      </w:pPr>
      <w:r>
        <w:rPr>
          <w:rFonts w:eastAsia="Times New Roman" w:cstheme="minorHAnsi"/>
          <w:sz w:val="24"/>
          <w:szCs w:val="24"/>
        </w:rPr>
        <w:t>The Bayesian structural time series (BSTS) framework for causal analysis was thus adopted to empirically investigate whether this decrease in the total trade values was due to the outbreak of the COVID-19 pandemic.</w:t>
      </w:r>
    </w:p>
    <w:p w:rsidR="00856BC4" w:rsidRDefault="00856BC4" w:rsidP="00856BC4">
      <w:pPr>
        <w:pStyle w:val="ListParagraph"/>
        <w:numPr>
          <w:ilvl w:val="0"/>
          <w:numId w:val="1"/>
        </w:numPr>
        <w:shd w:val="clear" w:color="auto" w:fill="FFFFFF"/>
        <w:spacing w:after="0" w:line="240" w:lineRule="auto"/>
        <w:jc w:val="both"/>
        <w:rPr>
          <w:rFonts w:eastAsia="Times New Roman" w:cstheme="minorHAnsi"/>
          <w:sz w:val="24"/>
          <w:szCs w:val="24"/>
        </w:rPr>
      </w:pPr>
      <w:r>
        <w:rPr>
          <w:rFonts w:eastAsia="Times New Roman" w:cstheme="minorHAnsi"/>
          <w:sz w:val="24"/>
          <w:szCs w:val="24"/>
        </w:rPr>
        <w:t>Our empirical findings showed that in the long-run, the total trade values will eventually be affected by the pandemic. Nevertheless, this is highly dependent upon the measures taken locally or globally to mitigate the spread of the virus.</w:t>
      </w:r>
    </w:p>
    <w:p w:rsidR="00856BC4" w:rsidRDefault="00856BC4" w:rsidP="00856BC4">
      <w:pPr>
        <w:pStyle w:val="ListParagraph"/>
        <w:numPr>
          <w:ilvl w:val="0"/>
          <w:numId w:val="1"/>
        </w:numPr>
        <w:shd w:val="clear" w:color="auto" w:fill="FFFFFF"/>
        <w:spacing w:after="0" w:line="240" w:lineRule="auto"/>
        <w:jc w:val="both"/>
        <w:rPr>
          <w:rFonts w:eastAsia="Times New Roman" w:cstheme="minorHAnsi"/>
          <w:sz w:val="24"/>
          <w:szCs w:val="24"/>
        </w:rPr>
      </w:pPr>
      <w:r>
        <w:rPr>
          <w:rFonts w:eastAsia="Times New Roman" w:cstheme="minorHAnsi"/>
          <w:sz w:val="24"/>
          <w:szCs w:val="24"/>
        </w:rPr>
        <w:t xml:space="preserve">In terms of country-wise analysis, the relative effects for the import trade system range from -31% (for United States) and -14% (for Japan). For the export trade system, this varies from </w:t>
      </w:r>
      <w:r w:rsidRPr="00320628">
        <w:rPr>
          <w:rFonts w:eastAsia="Times New Roman" w:cstheme="minorHAnsi"/>
          <w:sz w:val="24"/>
          <w:szCs w:val="24"/>
        </w:rPr>
        <w:t>-62% (for France) to -33% (for South Africa)</w:t>
      </w:r>
      <w:r>
        <w:rPr>
          <w:rFonts w:eastAsia="Times New Roman" w:cstheme="minorHAnsi"/>
          <w:sz w:val="24"/>
          <w:szCs w:val="24"/>
        </w:rPr>
        <w:t>.</w:t>
      </w:r>
    </w:p>
    <w:p w:rsidR="00856BC4" w:rsidRPr="00D613DE" w:rsidRDefault="00856BC4" w:rsidP="00856BC4">
      <w:pPr>
        <w:pStyle w:val="ListParagraph"/>
        <w:numPr>
          <w:ilvl w:val="0"/>
          <w:numId w:val="1"/>
        </w:numPr>
        <w:shd w:val="clear" w:color="auto" w:fill="FFFFFF"/>
        <w:spacing w:after="0" w:line="240" w:lineRule="auto"/>
        <w:jc w:val="both"/>
        <w:rPr>
          <w:rFonts w:eastAsia="Times New Roman" w:cstheme="minorHAnsi"/>
          <w:sz w:val="24"/>
          <w:szCs w:val="24"/>
        </w:rPr>
      </w:pPr>
      <w:r>
        <w:rPr>
          <w:rFonts w:eastAsia="Times New Roman" w:cstheme="minorHAnsi"/>
          <w:sz w:val="24"/>
          <w:szCs w:val="24"/>
        </w:rPr>
        <w:t xml:space="preserve">In terms of sector-wise analysis, the relative effects vary from </w:t>
      </w:r>
      <w:r w:rsidRPr="004D6FEE">
        <w:rPr>
          <w:rFonts w:cstheme="minorHAnsi"/>
          <w:sz w:val="24"/>
          <w:szCs w:val="24"/>
        </w:rPr>
        <w:t xml:space="preserve">-54% (for the sector “Petroleum gases and other gaseous hydrocarbons (HS Code: 271113) </w:t>
      </w:r>
      <w:r>
        <w:rPr>
          <w:rFonts w:cstheme="minorHAnsi"/>
          <w:sz w:val="24"/>
          <w:szCs w:val="24"/>
        </w:rPr>
        <w:t>to</w:t>
      </w:r>
      <w:r w:rsidRPr="004D6FEE">
        <w:rPr>
          <w:rFonts w:cstheme="minorHAnsi"/>
          <w:sz w:val="24"/>
          <w:szCs w:val="24"/>
        </w:rPr>
        <w:t xml:space="preserve"> -14% (for the sector “Cigarettes (HS Code: 240220)</w:t>
      </w:r>
      <w:r>
        <w:rPr>
          <w:rFonts w:eastAsia="Times New Roman" w:cstheme="minorHAnsi"/>
          <w:sz w:val="24"/>
          <w:szCs w:val="24"/>
        </w:rPr>
        <w:t xml:space="preserve">). For the export trade system, this ranges </w:t>
      </w:r>
      <w:r w:rsidRPr="007B2515">
        <w:rPr>
          <w:rFonts w:eastAsia="Times New Roman" w:cstheme="minorHAnsi"/>
          <w:sz w:val="24"/>
          <w:szCs w:val="24"/>
        </w:rPr>
        <w:t xml:space="preserve">from -51% (for the sector Men’s and boys’ shirts, of cotton (not knitted or crocheted) (HS </w:t>
      </w:r>
      <w:r w:rsidRPr="007B2515">
        <w:rPr>
          <w:rFonts w:eastAsia="Times New Roman" w:cstheme="minorHAnsi"/>
          <w:sz w:val="24"/>
          <w:szCs w:val="24"/>
        </w:rPr>
        <w:lastRenderedPageBreak/>
        <w:t>Code: 620520) to -13% (for the sector Fabrics, knitted or crocheted, of cotton or dyed (HS Code: 600622)</w:t>
      </w:r>
      <w:r>
        <w:rPr>
          <w:rFonts w:eastAsia="Times New Roman" w:cstheme="minorHAnsi"/>
          <w:sz w:val="24"/>
          <w:szCs w:val="24"/>
        </w:rPr>
        <w:t>.</w:t>
      </w:r>
    </w:p>
    <w:p w:rsidR="00856BC4" w:rsidRPr="001631C0" w:rsidRDefault="00856BC4" w:rsidP="00856BC4">
      <w:pPr>
        <w:tabs>
          <w:tab w:val="left" w:pos="6900"/>
        </w:tabs>
        <w:jc w:val="both"/>
        <w:rPr>
          <w:b/>
          <w:sz w:val="24"/>
          <w:highlight w:val="yellow"/>
        </w:rPr>
      </w:pPr>
      <w:r w:rsidRPr="007053FA">
        <w:rPr>
          <w:b/>
          <w:sz w:val="24"/>
        </w:rPr>
        <w:tab/>
      </w:r>
    </w:p>
    <w:p w:rsidR="00856BC4" w:rsidRDefault="00856BC4" w:rsidP="00856BC4">
      <w:pPr>
        <w:tabs>
          <w:tab w:val="left" w:pos="6900"/>
        </w:tabs>
        <w:jc w:val="both"/>
        <w:rPr>
          <w:b/>
          <w:sz w:val="24"/>
        </w:rPr>
      </w:pPr>
      <w:r w:rsidRPr="007053FA">
        <w:rPr>
          <w:b/>
          <w:sz w:val="24"/>
        </w:rPr>
        <w:t>Impact of COVID-19 on FDI</w:t>
      </w:r>
    </w:p>
    <w:p w:rsidR="00856BC4" w:rsidRDefault="00856BC4" w:rsidP="00856BC4">
      <w:pPr>
        <w:pStyle w:val="ListParagraph"/>
        <w:numPr>
          <w:ilvl w:val="0"/>
          <w:numId w:val="1"/>
        </w:numPr>
        <w:shd w:val="clear" w:color="auto" w:fill="FFFFFF"/>
        <w:spacing w:after="0" w:line="240" w:lineRule="auto"/>
        <w:jc w:val="both"/>
        <w:rPr>
          <w:rFonts w:eastAsia="Times New Roman" w:cstheme="minorHAnsi"/>
          <w:sz w:val="24"/>
          <w:szCs w:val="24"/>
        </w:rPr>
      </w:pPr>
      <w:r>
        <w:rPr>
          <w:rFonts w:eastAsia="Times New Roman" w:cstheme="minorHAnsi"/>
          <w:sz w:val="24"/>
          <w:szCs w:val="24"/>
        </w:rPr>
        <w:t xml:space="preserve">As compared to the same period the previous year (January 2019-June 2019), a change was observed in the figures of the gross direct investment flows, both in terms of geographical origins and sector wise. </w:t>
      </w:r>
    </w:p>
    <w:p w:rsidR="00856BC4" w:rsidRDefault="00856BC4" w:rsidP="00856BC4">
      <w:pPr>
        <w:pStyle w:val="ListParagraph"/>
        <w:numPr>
          <w:ilvl w:val="0"/>
          <w:numId w:val="1"/>
        </w:numPr>
        <w:shd w:val="clear" w:color="auto" w:fill="FFFFFF"/>
        <w:spacing w:after="0" w:line="240" w:lineRule="auto"/>
        <w:jc w:val="both"/>
        <w:rPr>
          <w:rFonts w:eastAsia="Times New Roman" w:cstheme="minorHAnsi"/>
          <w:sz w:val="24"/>
          <w:szCs w:val="24"/>
        </w:rPr>
      </w:pPr>
      <w:r>
        <w:rPr>
          <w:rFonts w:eastAsia="Times New Roman" w:cstheme="minorHAnsi"/>
          <w:sz w:val="24"/>
          <w:szCs w:val="24"/>
        </w:rPr>
        <w:t>Preliminary analysis of our time series data revealed that the figures were below/above those predicted by the optimal forecast models.</w:t>
      </w:r>
    </w:p>
    <w:p w:rsidR="00856BC4" w:rsidRDefault="00856BC4" w:rsidP="00856BC4">
      <w:pPr>
        <w:pStyle w:val="ListParagraph"/>
        <w:numPr>
          <w:ilvl w:val="0"/>
          <w:numId w:val="1"/>
        </w:numPr>
        <w:shd w:val="clear" w:color="auto" w:fill="FFFFFF"/>
        <w:spacing w:after="0" w:line="240" w:lineRule="auto"/>
        <w:jc w:val="both"/>
        <w:rPr>
          <w:rFonts w:cstheme="minorHAnsi"/>
          <w:sz w:val="24"/>
          <w:szCs w:val="24"/>
        </w:rPr>
      </w:pPr>
      <w:r w:rsidRPr="00A43E28">
        <w:rPr>
          <w:rFonts w:eastAsia="Times New Roman" w:cstheme="minorHAnsi"/>
          <w:sz w:val="24"/>
          <w:szCs w:val="24"/>
        </w:rPr>
        <w:t>Despite that an o</w:t>
      </w:r>
      <w:r w:rsidRPr="00A43E28">
        <w:rPr>
          <w:rFonts w:cstheme="minorHAnsi"/>
          <w:sz w:val="24"/>
          <w:szCs w:val="24"/>
        </w:rPr>
        <w:t>verall decline was noted in the gross direct investment flows, our analysis showed that there was an increase in investments coming from the United States of America and in sectors such as “Manufacturing”, “Wholesale and Retail Trade; Repair of Motor Vehicles and Motorcycles”, “Accommodation and Food Service Activities” and “Fina</w:t>
      </w:r>
      <w:r>
        <w:rPr>
          <w:rFonts w:cstheme="minorHAnsi"/>
          <w:sz w:val="24"/>
          <w:szCs w:val="24"/>
        </w:rPr>
        <w:t>ncial and Insurance Activities”.</w:t>
      </w:r>
    </w:p>
    <w:p w:rsidR="00856BC4" w:rsidRDefault="00856BC4" w:rsidP="00856BC4">
      <w:pPr>
        <w:pStyle w:val="ListParagraph"/>
        <w:numPr>
          <w:ilvl w:val="0"/>
          <w:numId w:val="1"/>
        </w:numPr>
        <w:shd w:val="clear" w:color="auto" w:fill="FFFFFF"/>
        <w:spacing w:after="0" w:line="240" w:lineRule="auto"/>
        <w:jc w:val="both"/>
        <w:rPr>
          <w:rFonts w:cstheme="minorHAnsi"/>
          <w:sz w:val="24"/>
          <w:szCs w:val="24"/>
        </w:rPr>
      </w:pPr>
      <w:r w:rsidRPr="00A43E28">
        <w:rPr>
          <w:rFonts w:eastAsia="Times New Roman" w:cstheme="minorHAnsi"/>
          <w:sz w:val="24"/>
          <w:szCs w:val="24"/>
        </w:rPr>
        <w:t xml:space="preserve">Again here, we employed the </w:t>
      </w:r>
      <w:r w:rsidRPr="00A43E28">
        <w:rPr>
          <w:rFonts w:cstheme="minorHAnsi"/>
          <w:sz w:val="24"/>
          <w:szCs w:val="24"/>
        </w:rPr>
        <w:t xml:space="preserve">BSTS </w:t>
      </w:r>
      <w:r>
        <w:rPr>
          <w:rFonts w:cstheme="minorHAnsi"/>
          <w:sz w:val="24"/>
          <w:szCs w:val="24"/>
        </w:rPr>
        <w:t xml:space="preserve">framework </w:t>
      </w:r>
      <w:r w:rsidRPr="00A43E28">
        <w:rPr>
          <w:rFonts w:cstheme="minorHAnsi"/>
          <w:sz w:val="24"/>
          <w:szCs w:val="24"/>
        </w:rPr>
        <w:t xml:space="preserve">for causal analysis to </w:t>
      </w:r>
      <w:r>
        <w:rPr>
          <w:rFonts w:cstheme="minorHAnsi"/>
          <w:sz w:val="24"/>
          <w:szCs w:val="24"/>
        </w:rPr>
        <w:t xml:space="preserve">determine whether these changes were due to the outbreak of the </w:t>
      </w:r>
      <w:r w:rsidRPr="00A43E28">
        <w:rPr>
          <w:rFonts w:cstheme="minorHAnsi"/>
          <w:sz w:val="24"/>
          <w:szCs w:val="24"/>
        </w:rPr>
        <w:t>COVID-19 pandemic</w:t>
      </w:r>
      <w:r>
        <w:rPr>
          <w:rFonts w:cstheme="minorHAnsi"/>
          <w:sz w:val="24"/>
          <w:szCs w:val="24"/>
        </w:rPr>
        <w:t>.</w:t>
      </w:r>
    </w:p>
    <w:p w:rsidR="00856BC4" w:rsidRDefault="00856BC4" w:rsidP="00856BC4">
      <w:pPr>
        <w:pStyle w:val="ListParagraph"/>
        <w:numPr>
          <w:ilvl w:val="0"/>
          <w:numId w:val="1"/>
        </w:numPr>
        <w:shd w:val="clear" w:color="auto" w:fill="FFFFFF"/>
        <w:spacing w:after="0" w:line="240" w:lineRule="auto"/>
        <w:jc w:val="both"/>
        <w:rPr>
          <w:rFonts w:cstheme="minorHAnsi"/>
          <w:sz w:val="24"/>
          <w:szCs w:val="24"/>
        </w:rPr>
      </w:pPr>
      <w:r w:rsidRPr="00A43E28">
        <w:rPr>
          <w:rFonts w:cstheme="minorHAnsi"/>
          <w:sz w:val="24"/>
          <w:szCs w:val="24"/>
        </w:rPr>
        <w:t xml:space="preserve">Our findings indicated that the outbreak of the pandemic had a negative and significant effect on investments emanating from five countries (South Africa, Switzerland, Belgium, China and Reunion) and on investments in the “Real Estate Activities” sector. </w:t>
      </w:r>
    </w:p>
    <w:p w:rsidR="00856BC4" w:rsidRDefault="00856BC4" w:rsidP="00856BC4">
      <w:pPr>
        <w:pStyle w:val="ListParagraph"/>
        <w:numPr>
          <w:ilvl w:val="0"/>
          <w:numId w:val="1"/>
        </w:numPr>
        <w:shd w:val="clear" w:color="auto" w:fill="FFFFFF"/>
        <w:spacing w:after="0" w:line="240" w:lineRule="auto"/>
        <w:jc w:val="both"/>
        <w:rPr>
          <w:rFonts w:cstheme="minorHAnsi"/>
          <w:sz w:val="24"/>
          <w:szCs w:val="24"/>
        </w:rPr>
      </w:pPr>
      <w:r w:rsidRPr="00A43E28">
        <w:rPr>
          <w:rFonts w:cstheme="minorHAnsi"/>
          <w:sz w:val="24"/>
          <w:szCs w:val="24"/>
        </w:rPr>
        <w:t xml:space="preserve">Surprisingly, the latter had a positive and significant influence on the “Manufacturing” sector; a considerable increase was observed. </w:t>
      </w:r>
    </w:p>
    <w:p w:rsidR="00856BC4" w:rsidRDefault="00856BC4" w:rsidP="00856BC4">
      <w:pPr>
        <w:pStyle w:val="ListParagraph"/>
        <w:numPr>
          <w:ilvl w:val="0"/>
          <w:numId w:val="1"/>
        </w:numPr>
        <w:shd w:val="clear" w:color="auto" w:fill="FFFFFF"/>
        <w:spacing w:after="0" w:line="240" w:lineRule="auto"/>
        <w:jc w:val="both"/>
        <w:rPr>
          <w:rFonts w:cstheme="minorHAnsi"/>
          <w:sz w:val="24"/>
          <w:szCs w:val="24"/>
        </w:rPr>
      </w:pPr>
      <w:r>
        <w:rPr>
          <w:rFonts w:cstheme="minorHAnsi"/>
          <w:sz w:val="24"/>
          <w:szCs w:val="24"/>
        </w:rPr>
        <w:t xml:space="preserve">In terms of geographical regions, the relative effects range from -99% (China and Reunion) and -45% (South Africa). For the sectors, these vary from -31% (Real Estate Activities) to 410% (Manufacturing). </w:t>
      </w:r>
    </w:p>
    <w:p w:rsidR="00856BC4" w:rsidRPr="00201599" w:rsidRDefault="00856BC4" w:rsidP="00856BC4">
      <w:pPr>
        <w:pStyle w:val="ListParagraph"/>
        <w:numPr>
          <w:ilvl w:val="0"/>
          <w:numId w:val="1"/>
        </w:numPr>
        <w:shd w:val="clear" w:color="auto" w:fill="FFFFFF"/>
        <w:spacing w:after="0" w:line="240" w:lineRule="auto"/>
        <w:jc w:val="both"/>
      </w:pPr>
      <w:r w:rsidRPr="006F6F15">
        <w:rPr>
          <w:rFonts w:cstheme="minorHAnsi"/>
          <w:sz w:val="24"/>
          <w:szCs w:val="24"/>
        </w:rPr>
        <w:t xml:space="preserve">Nevertheless, a closer look at the reported results showed that in the long-run, there is more than 50% chance that the outbreak may affect the gross direct investment flows. But, this will depend on the measures taken to mitigate the spread of the virus in the coming months. </w:t>
      </w:r>
    </w:p>
    <w:p w:rsidR="00856BC4" w:rsidRPr="00D06BE3" w:rsidRDefault="00856BC4" w:rsidP="00856BC4">
      <w:pPr>
        <w:pStyle w:val="ListParagraph"/>
        <w:numPr>
          <w:ilvl w:val="0"/>
          <w:numId w:val="1"/>
        </w:numPr>
        <w:shd w:val="clear" w:color="auto" w:fill="FFFFFF"/>
        <w:spacing w:after="0" w:line="240" w:lineRule="auto"/>
        <w:jc w:val="both"/>
      </w:pPr>
      <w:r>
        <w:rPr>
          <w:rFonts w:cstheme="minorHAnsi"/>
          <w:sz w:val="24"/>
          <w:szCs w:val="24"/>
        </w:rPr>
        <w:t xml:space="preserve">An online survey on 70 foreign investors was also undertaken.  </w:t>
      </w:r>
    </w:p>
    <w:p w:rsidR="00856BC4" w:rsidRDefault="00856BC4" w:rsidP="00856BC4">
      <w:pPr>
        <w:pStyle w:val="ListParagraph"/>
        <w:numPr>
          <w:ilvl w:val="0"/>
          <w:numId w:val="1"/>
        </w:numPr>
        <w:shd w:val="clear" w:color="auto" w:fill="FFFFFF"/>
        <w:spacing w:after="0" w:line="240" w:lineRule="auto"/>
        <w:jc w:val="both"/>
        <w:rPr>
          <w:rFonts w:cstheme="minorHAnsi"/>
          <w:sz w:val="24"/>
          <w:szCs w:val="24"/>
        </w:rPr>
      </w:pPr>
      <w:r w:rsidRPr="00D06BE3">
        <w:rPr>
          <w:rFonts w:cstheme="minorHAnsi"/>
          <w:sz w:val="24"/>
          <w:szCs w:val="24"/>
        </w:rPr>
        <w:t>The data shows that around 33% have reduced their workforce by 20%, while 29% encounter problems in the supply chain</w:t>
      </w:r>
      <w:r>
        <w:rPr>
          <w:rFonts w:cstheme="minorHAnsi"/>
          <w:sz w:val="24"/>
          <w:szCs w:val="24"/>
        </w:rPr>
        <w:t xml:space="preserve"> and</w:t>
      </w:r>
      <w:r w:rsidRPr="00D06BE3">
        <w:rPr>
          <w:rFonts w:cstheme="minorHAnsi"/>
          <w:sz w:val="24"/>
          <w:szCs w:val="24"/>
        </w:rPr>
        <w:t xml:space="preserve"> 27% of firms registered a fall in output of the order of 40%</w:t>
      </w:r>
      <w:r>
        <w:rPr>
          <w:rFonts w:cstheme="minorHAnsi"/>
          <w:sz w:val="24"/>
          <w:szCs w:val="24"/>
        </w:rPr>
        <w:t>.</w:t>
      </w:r>
    </w:p>
    <w:p w:rsidR="00856BC4" w:rsidRDefault="00856BC4" w:rsidP="00856BC4">
      <w:pPr>
        <w:pStyle w:val="ListParagraph"/>
        <w:numPr>
          <w:ilvl w:val="0"/>
          <w:numId w:val="1"/>
        </w:numPr>
        <w:shd w:val="clear" w:color="auto" w:fill="FFFFFF"/>
        <w:spacing w:after="0" w:line="240" w:lineRule="auto"/>
        <w:jc w:val="both"/>
        <w:rPr>
          <w:rFonts w:cstheme="minorHAnsi"/>
          <w:sz w:val="24"/>
          <w:szCs w:val="24"/>
        </w:rPr>
      </w:pPr>
      <w:r w:rsidRPr="00D06BE3">
        <w:rPr>
          <w:rFonts w:cstheme="minorHAnsi"/>
          <w:sz w:val="24"/>
          <w:szCs w:val="24"/>
        </w:rPr>
        <w:t xml:space="preserve">The importance of government measures were assessed </w:t>
      </w:r>
      <w:r>
        <w:rPr>
          <w:rFonts w:cstheme="minorHAnsi"/>
          <w:sz w:val="24"/>
          <w:szCs w:val="24"/>
        </w:rPr>
        <w:t>where</w:t>
      </w:r>
      <w:r w:rsidRPr="00D06BE3">
        <w:rPr>
          <w:rFonts w:cstheme="minorHAnsi"/>
          <w:sz w:val="24"/>
          <w:szCs w:val="24"/>
        </w:rPr>
        <w:t xml:space="preserve"> it was noted that the majority that is 51.4% and 54.3% reported that relaxing labour and business regulations and increasing transparency and information on the COVID-19 situation are very important for investors.  </w:t>
      </w:r>
    </w:p>
    <w:p w:rsidR="00856BC4" w:rsidRPr="00D06BE3" w:rsidRDefault="00856BC4" w:rsidP="00856BC4">
      <w:pPr>
        <w:pStyle w:val="ListParagraph"/>
        <w:numPr>
          <w:ilvl w:val="0"/>
          <w:numId w:val="1"/>
        </w:numPr>
        <w:shd w:val="clear" w:color="auto" w:fill="FFFFFF"/>
        <w:spacing w:after="0" w:line="240" w:lineRule="auto"/>
        <w:jc w:val="both"/>
        <w:rPr>
          <w:rFonts w:cstheme="minorHAnsi"/>
          <w:sz w:val="24"/>
          <w:szCs w:val="24"/>
        </w:rPr>
      </w:pPr>
      <w:r w:rsidRPr="00D06BE3">
        <w:rPr>
          <w:rFonts w:cstheme="minorHAnsi"/>
          <w:sz w:val="24"/>
          <w:szCs w:val="24"/>
        </w:rPr>
        <w:t>The Wage Assistance Scheme</w:t>
      </w:r>
      <w:r>
        <w:rPr>
          <w:rFonts w:cstheme="minorHAnsi"/>
          <w:sz w:val="24"/>
          <w:szCs w:val="24"/>
        </w:rPr>
        <w:t xml:space="preserve"> (WAS)</w:t>
      </w:r>
      <w:r w:rsidRPr="00D06BE3">
        <w:rPr>
          <w:rFonts w:cstheme="minorHAnsi"/>
          <w:sz w:val="24"/>
          <w:szCs w:val="24"/>
        </w:rPr>
        <w:t xml:space="preserve"> is also viewed as a very important measure for 52.2% of investors in the sample</w:t>
      </w:r>
      <w:r>
        <w:rPr>
          <w:rFonts w:cstheme="minorHAnsi"/>
          <w:sz w:val="24"/>
          <w:szCs w:val="24"/>
        </w:rPr>
        <w:t>.</w:t>
      </w:r>
    </w:p>
    <w:p w:rsidR="00856BC4" w:rsidRDefault="00856BC4" w:rsidP="00856BC4">
      <w:pPr>
        <w:pStyle w:val="ListParagraph"/>
        <w:numPr>
          <w:ilvl w:val="0"/>
          <w:numId w:val="1"/>
        </w:numPr>
        <w:shd w:val="clear" w:color="auto" w:fill="FFFFFF"/>
        <w:spacing w:after="0" w:line="240" w:lineRule="auto"/>
        <w:jc w:val="both"/>
        <w:rPr>
          <w:rFonts w:cstheme="minorHAnsi"/>
          <w:sz w:val="24"/>
          <w:szCs w:val="24"/>
        </w:rPr>
      </w:pPr>
      <w:r w:rsidRPr="00D06BE3">
        <w:rPr>
          <w:rFonts w:cstheme="minorHAnsi"/>
          <w:sz w:val="24"/>
          <w:szCs w:val="24"/>
        </w:rPr>
        <w:t xml:space="preserve">The most common measures </w:t>
      </w:r>
      <w:r>
        <w:rPr>
          <w:rFonts w:cstheme="minorHAnsi"/>
          <w:sz w:val="24"/>
          <w:szCs w:val="24"/>
        </w:rPr>
        <w:t xml:space="preserve">adopted by foreign investors to adjust to the pandemic </w:t>
      </w:r>
      <w:r w:rsidRPr="00D06BE3">
        <w:rPr>
          <w:rFonts w:cstheme="minorHAnsi"/>
          <w:sz w:val="24"/>
          <w:szCs w:val="24"/>
        </w:rPr>
        <w:t xml:space="preserve">have been to seek financial assistance, apply for the WAS, as well as the use of digital technologies for supply chain management and the reduction of their workforce.  </w:t>
      </w:r>
    </w:p>
    <w:p w:rsidR="00856BC4" w:rsidRDefault="00856BC4" w:rsidP="00856BC4">
      <w:pPr>
        <w:pStyle w:val="ListParagraph"/>
        <w:numPr>
          <w:ilvl w:val="0"/>
          <w:numId w:val="1"/>
        </w:numPr>
        <w:shd w:val="clear" w:color="auto" w:fill="FFFFFF"/>
        <w:spacing w:after="0" w:line="240" w:lineRule="auto"/>
        <w:jc w:val="both"/>
        <w:rPr>
          <w:rFonts w:cstheme="minorHAnsi"/>
          <w:sz w:val="24"/>
          <w:szCs w:val="24"/>
        </w:rPr>
      </w:pPr>
      <w:r w:rsidRPr="00710653">
        <w:rPr>
          <w:rFonts w:cstheme="minorHAnsi"/>
          <w:sz w:val="24"/>
          <w:szCs w:val="24"/>
        </w:rPr>
        <w:t xml:space="preserve">Investors surveyed also reported on the support they actual need to face the socio economic impacts of the crisis.  The majority of them </w:t>
      </w:r>
      <w:r>
        <w:rPr>
          <w:rFonts w:cstheme="minorHAnsi"/>
          <w:sz w:val="24"/>
          <w:szCs w:val="24"/>
        </w:rPr>
        <w:t>need</w:t>
      </w:r>
      <w:r w:rsidRPr="00710653">
        <w:rPr>
          <w:rFonts w:cstheme="minorHAnsi"/>
          <w:sz w:val="24"/>
          <w:szCs w:val="24"/>
        </w:rPr>
        <w:t xml:space="preserve"> financial aid in terms of cash flow, grants, subsidies and credits.  </w:t>
      </w:r>
    </w:p>
    <w:p w:rsidR="00856BC4" w:rsidRDefault="00856BC4" w:rsidP="00856BC4">
      <w:pPr>
        <w:pStyle w:val="ListParagraph"/>
        <w:numPr>
          <w:ilvl w:val="0"/>
          <w:numId w:val="1"/>
        </w:numPr>
        <w:shd w:val="clear" w:color="auto" w:fill="FFFFFF"/>
        <w:spacing w:after="0" w:line="240" w:lineRule="auto"/>
        <w:jc w:val="both"/>
        <w:rPr>
          <w:rFonts w:cstheme="minorHAnsi"/>
          <w:sz w:val="24"/>
          <w:szCs w:val="24"/>
        </w:rPr>
      </w:pPr>
      <w:r w:rsidRPr="00710653">
        <w:rPr>
          <w:rFonts w:cstheme="minorHAnsi"/>
          <w:sz w:val="24"/>
          <w:szCs w:val="24"/>
        </w:rPr>
        <w:lastRenderedPageBreak/>
        <w:t xml:space="preserve">Around 14% also advocate for the reopening of border for both tourists and potential real estate clients, 22.3% would like a review of existing laws and measures especially the relaxation of labour and business regulations whilst 12.3% need debt assistance in terms of lower rate of interest on loans, amongst others.  </w:t>
      </w:r>
    </w:p>
    <w:p w:rsidR="00856BC4" w:rsidRDefault="00856BC4" w:rsidP="00856BC4">
      <w:pPr>
        <w:pStyle w:val="ListParagraph"/>
        <w:numPr>
          <w:ilvl w:val="0"/>
          <w:numId w:val="1"/>
        </w:numPr>
        <w:shd w:val="clear" w:color="auto" w:fill="FFFFFF"/>
        <w:spacing w:after="0" w:line="240" w:lineRule="auto"/>
        <w:jc w:val="both"/>
        <w:rPr>
          <w:rFonts w:cstheme="minorHAnsi"/>
          <w:sz w:val="24"/>
          <w:szCs w:val="24"/>
        </w:rPr>
      </w:pPr>
      <w:r w:rsidRPr="00710653">
        <w:rPr>
          <w:rFonts w:cstheme="minorHAnsi"/>
          <w:sz w:val="24"/>
          <w:szCs w:val="24"/>
        </w:rPr>
        <w:t>Other measures encompass fast track of permits in terms of the clearance from different Ministries as well as clear communication and transparency on laws, measures taken.</w:t>
      </w:r>
    </w:p>
    <w:p w:rsidR="00856BC4" w:rsidRDefault="00856BC4" w:rsidP="00856BC4">
      <w:pPr>
        <w:pStyle w:val="ListParagraph"/>
        <w:shd w:val="clear" w:color="auto" w:fill="FFFFFF"/>
        <w:tabs>
          <w:tab w:val="left" w:pos="0"/>
        </w:tabs>
        <w:spacing w:after="0" w:line="240" w:lineRule="auto"/>
        <w:ind w:left="0"/>
        <w:jc w:val="both"/>
        <w:rPr>
          <w:rFonts w:cstheme="minorHAnsi"/>
          <w:sz w:val="24"/>
          <w:szCs w:val="24"/>
        </w:rPr>
      </w:pPr>
    </w:p>
    <w:p w:rsidR="00856BC4" w:rsidRDefault="00856BC4" w:rsidP="00856BC4">
      <w:pPr>
        <w:pStyle w:val="ListParagraph"/>
        <w:shd w:val="clear" w:color="auto" w:fill="FFFFFF"/>
        <w:tabs>
          <w:tab w:val="left" w:pos="0"/>
        </w:tabs>
        <w:spacing w:after="0" w:line="240" w:lineRule="auto"/>
        <w:ind w:left="0"/>
        <w:jc w:val="both"/>
        <w:rPr>
          <w:rFonts w:cstheme="minorHAnsi"/>
          <w:sz w:val="24"/>
          <w:szCs w:val="24"/>
        </w:rPr>
      </w:pPr>
      <w:r>
        <w:rPr>
          <w:rFonts w:cstheme="minorHAnsi"/>
          <w:sz w:val="24"/>
          <w:szCs w:val="24"/>
        </w:rPr>
        <w:t>Based on the above findings, the report presents a series of policy options in the three areas discussed namely foreign investment, exports and employment.  We also focus on SMEs in particular as they contribute significantly to both GDP and employment.  From the results, it can be postulated that the measures put forward by the Government have been helpful for domestic as well as foreign investors and enterprises.  In effect, t</w:t>
      </w:r>
      <w:r w:rsidRPr="004959C4">
        <w:rPr>
          <w:rFonts w:cstheme="minorHAnsi"/>
          <w:sz w:val="24"/>
          <w:szCs w:val="24"/>
        </w:rPr>
        <w:t xml:space="preserve">he authorities </w:t>
      </w:r>
      <w:r>
        <w:rPr>
          <w:rFonts w:cstheme="minorHAnsi"/>
          <w:sz w:val="24"/>
          <w:szCs w:val="24"/>
        </w:rPr>
        <w:t xml:space="preserve">have </w:t>
      </w:r>
      <w:r w:rsidRPr="004959C4">
        <w:rPr>
          <w:rFonts w:cstheme="minorHAnsi"/>
          <w:sz w:val="24"/>
          <w:szCs w:val="24"/>
        </w:rPr>
        <w:t>responded proactivel</w:t>
      </w:r>
      <w:r>
        <w:rPr>
          <w:rFonts w:cstheme="minorHAnsi"/>
          <w:sz w:val="24"/>
          <w:szCs w:val="24"/>
        </w:rPr>
        <w:t>y by providing assistance to</w:t>
      </w:r>
      <w:r w:rsidRPr="004959C4">
        <w:rPr>
          <w:rFonts w:cstheme="minorHAnsi"/>
          <w:sz w:val="24"/>
          <w:szCs w:val="24"/>
        </w:rPr>
        <w:t xml:space="preserve"> key stakeholders severely impacted by the pandemic. Policies and actions taken have helped preserve </w:t>
      </w:r>
      <w:r>
        <w:rPr>
          <w:rFonts w:cstheme="minorHAnsi"/>
          <w:sz w:val="24"/>
          <w:szCs w:val="24"/>
        </w:rPr>
        <w:t xml:space="preserve">both economic and social stability.   </w:t>
      </w:r>
    </w:p>
    <w:p w:rsidR="00CE5042" w:rsidRPr="00856BC4" w:rsidRDefault="00CE5042" w:rsidP="00856BC4">
      <w:pPr>
        <w:jc w:val="both"/>
        <w:rPr>
          <w:rFonts w:cstheme="minorHAnsi"/>
          <w:sz w:val="24"/>
          <w:szCs w:val="24"/>
        </w:rPr>
      </w:pPr>
      <w:bookmarkStart w:id="2" w:name="_GoBack"/>
      <w:bookmarkEnd w:id="2"/>
    </w:p>
    <w:sectPr w:rsidR="00CE5042" w:rsidRPr="00856BC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753C36"/>
    <w:multiLevelType w:val="hybridMultilevel"/>
    <w:tmpl w:val="4C8C0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BC4"/>
    <w:rsid w:val="00856BC4"/>
    <w:rsid w:val="00CE5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DD2085-CF25-4659-B203-B94803BB2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6BC4"/>
  </w:style>
  <w:style w:type="paragraph" w:styleId="Heading1">
    <w:name w:val="heading 1"/>
    <w:basedOn w:val="Normal"/>
    <w:next w:val="Normal"/>
    <w:link w:val="Heading1Char"/>
    <w:uiPriority w:val="9"/>
    <w:qFormat/>
    <w:rsid w:val="00856BC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BC4"/>
    <w:rPr>
      <w:rFonts w:asciiTheme="majorHAnsi" w:eastAsiaTheme="majorEastAsia" w:hAnsiTheme="majorHAnsi" w:cstheme="majorBidi"/>
      <w:color w:val="2E74B5" w:themeColor="accent1" w:themeShade="BF"/>
      <w:sz w:val="32"/>
      <w:szCs w:val="32"/>
    </w:rPr>
  </w:style>
  <w:style w:type="paragraph" w:styleId="ListParagraph">
    <w:name w:val="List Paragraph"/>
    <w:basedOn w:val="Normal"/>
    <w:uiPriority w:val="34"/>
    <w:qFormat/>
    <w:rsid w:val="00856B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1691</Words>
  <Characters>9640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2021-04-08T08:48:00Z</dcterms:created>
  <dcterms:modified xsi:type="dcterms:W3CDTF">2021-04-08T08:49:00Z</dcterms:modified>
</cp:coreProperties>
</file>