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31DC2" w14:textId="77777777" w:rsidR="00971D82" w:rsidRDefault="00614CA3" w:rsidP="00971D82">
      <w:pPr>
        <w:jc w:val="center"/>
        <w:rPr>
          <w:rFonts w:asciiTheme="majorHAnsi" w:hAnsiTheme="majorHAnsi"/>
          <w:b/>
          <w:color w:val="000000" w:themeColor="text1"/>
        </w:rPr>
      </w:pPr>
      <w:bookmarkStart w:id="0" w:name="_GoBack"/>
      <w:bookmarkEnd w:id="0"/>
      <w:r w:rsidRPr="007A7A27">
        <w:rPr>
          <w:rFonts w:asciiTheme="majorHAnsi" w:hAnsiTheme="majorHAnsi"/>
          <w:b/>
          <w:color w:val="000000" w:themeColor="text1"/>
        </w:rPr>
        <w:t>C</w:t>
      </w:r>
      <w:r w:rsidR="00C12CA8" w:rsidRPr="007A7A27">
        <w:rPr>
          <w:rFonts w:asciiTheme="majorHAnsi" w:hAnsiTheme="majorHAnsi"/>
          <w:b/>
          <w:color w:val="000000" w:themeColor="text1"/>
        </w:rPr>
        <w:t>onnectivity</w:t>
      </w:r>
      <w:r w:rsidRPr="007A7A27">
        <w:rPr>
          <w:rFonts w:asciiTheme="majorHAnsi" w:hAnsiTheme="majorHAnsi"/>
          <w:b/>
          <w:color w:val="000000" w:themeColor="text1"/>
        </w:rPr>
        <w:t xml:space="preserve"> through services</w:t>
      </w:r>
      <w:r w:rsidR="00C12CA8" w:rsidRPr="007A7A27">
        <w:rPr>
          <w:rFonts w:asciiTheme="majorHAnsi" w:hAnsiTheme="majorHAnsi"/>
          <w:b/>
          <w:color w:val="000000" w:themeColor="text1"/>
        </w:rPr>
        <w:t xml:space="preserve">: </w:t>
      </w:r>
      <w:r w:rsidR="00971D82">
        <w:rPr>
          <w:rFonts w:asciiTheme="majorHAnsi" w:hAnsiTheme="majorHAnsi"/>
          <w:b/>
          <w:color w:val="000000" w:themeColor="text1"/>
        </w:rPr>
        <w:t xml:space="preserve"> </w:t>
      </w:r>
    </w:p>
    <w:p w14:paraId="42DD1BA0" w14:textId="5795D89C" w:rsidR="00B62FE2" w:rsidRPr="007A7A27" w:rsidRDefault="00971D82" w:rsidP="00971D82">
      <w:pPr>
        <w:jc w:val="center"/>
        <w:rPr>
          <w:rFonts w:asciiTheme="majorHAnsi" w:hAnsiTheme="majorHAnsi"/>
          <w:b/>
          <w:color w:val="000000" w:themeColor="text1"/>
        </w:rPr>
      </w:pPr>
      <w:r>
        <w:rPr>
          <w:rFonts w:asciiTheme="majorHAnsi" w:hAnsiTheme="majorHAnsi"/>
          <w:b/>
          <w:color w:val="000000" w:themeColor="text1"/>
        </w:rPr>
        <w:t>the case for a focused services trade strategy for South Africa</w:t>
      </w:r>
    </w:p>
    <w:p w14:paraId="3779ADC1" w14:textId="2AA3C58B" w:rsidR="00511994" w:rsidRPr="007A7A27" w:rsidRDefault="00FB31C7" w:rsidP="007A7A27">
      <w:pPr>
        <w:spacing w:line="360" w:lineRule="auto"/>
        <w:jc w:val="center"/>
        <w:rPr>
          <w:rFonts w:asciiTheme="majorHAnsi" w:hAnsiTheme="majorHAnsi"/>
          <w:color w:val="000000" w:themeColor="text1"/>
        </w:rPr>
      </w:pPr>
      <w:r w:rsidRPr="007A7A27">
        <w:rPr>
          <w:rFonts w:asciiTheme="majorHAnsi" w:hAnsiTheme="majorHAnsi"/>
          <w:color w:val="000000" w:themeColor="text1"/>
        </w:rPr>
        <w:t>Dr</w:t>
      </w:r>
      <w:r w:rsidR="00C12CA8" w:rsidRPr="007A7A27">
        <w:rPr>
          <w:rFonts w:asciiTheme="majorHAnsi" w:hAnsiTheme="majorHAnsi"/>
          <w:color w:val="000000" w:themeColor="text1"/>
        </w:rPr>
        <w:t xml:space="preserve"> Adelia Janse van Rensburg</w:t>
      </w:r>
      <w:r w:rsidR="006956FD" w:rsidRPr="007A7A27">
        <w:rPr>
          <w:rStyle w:val="FootnoteReference"/>
          <w:rFonts w:asciiTheme="majorHAnsi" w:hAnsiTheme="majorHAnsi"/>
          <w:color w:val="000000" w:themeColor="text1"/>
        </w:rPr>
        <w:footnoteReference w:id="1"/>
      </w:r>
      <w:r w:rsidR="00511994" w:rsidRPr="007A7A27">
        <w:rPr>
          <w:rFonts w:asciiTheme="majorHAnsi" w:hAnsiTheme="majorHAnsi"/>
          <w:color w:val="000000" w:themeColor="text1"/>
        </w:rPr>
        <w:t xml:space="preserve">, </w:t>
      </w:r>
      <w:r w:rsidR="00C12CA8" w:rsidRPr="007A7A27">
        <w:rPr>
          <w:rFonts w:asciiTheme="majorHAnsi" w:hAnsiTheme="majorHAnsi"/>
          <w:color w:val="000000" w:themeColor="text1"/>
        </w:rPr>
        <w:t>Prof</w:t>
      </w:r>
      <w:r w:rsidR="00104842" w:rsidRPr="007A7A27">
        <w:rPr>
          <w:rFonts w:asciiTheme="majorHAnsi" w:hAnsiTheme="majorHAnsi"/>
          <w:color w:val="000000" w:themeColor="text1"/>
        </w:rPr>
        <w:t xml:space="preserve"> </w:t>
      </w:r>
      <w:r w:rsidR="00511994" w:rsidRPr="007A7A27">
        <w:rPr>
          <w:rFonts w:asciiTheme="majorHAnsi" w:hAnsiTheme="majorHAnsi"/>
          <w:color w:val="000000" w:themeColor="text1"/>
        </w:rPr>
        <w:t>Sonja Grater</w:t>
      </w:r>
      <w:r w:rsidR="006956FD" w:rsidRPr="007A7A27">
        <w:rPr>
          <w:rStyle w:val="FootnoteReference"/>
          <w:rFonts w:asciiTheme="majorHAnsi" w:hAnsiTheme="majorHAnsi"/>
          <w:color w:val="000000" w:themeColor="text1"/>
        </w:rPr>
        <w:footnoteReference w:id="2"/>
      </w:r>
      <w:r w:rsidR="00C12CA8" w:rsidRPr="007A7A27">
        <w:rPr>
          <w:rFonts w:asciiTheme="majorHAnsi" w:hAnsiTheme="majorHAnsi"/>
          <w:color w:val="000000" w:themeColor="text1"/>
        </w:rPr>
        <w:t xml:space="preserve">, </w:t>
      </w:r>
      <w:r w:rsidR="00104842" w:rsidRPr="007A7A27">
        <w:rPr>
          <w:rFonts w:asciiTheme="majorHAnsi" w:hAnsiTheme="majorHAnsi"/>
          <w:color w:val="000000" w:themeColor="text1"/>
        </w:rPr>
        <w:t xml:space="preserve">Prof </w:t>
      </w:r>
      <w:r w:rsidR="00511994" w:rsidRPr="007A7A27">
        <w:rPr>
          <w:rFonts w:asciiTheme="majorHAnsi" w:hAnsiTheme="majorHAnsi"/>
          <w:color w:val="000000" w:themeColor="text1"/>
        </w:rPr>
        <w:t>Wilma Viviers</w:t>
      </w:r>
      <w:r w:rsidR="006956FD" w:rsidRPr="007A7A27">
        <w:rPr>
          <w:rStyle w:val="FootnoteReference"/>
          <w:rFonts w:asciiTheme="majorHAnsi" w:hAnsiTheme="majorHAnsi"/>
          <w:color w:val="000000" w:themeColor="text1"/>
        </w:rPr>
        <w:footnoteReference w:id="3"/>
      </w:r>
      <w:r w:rsidR="00C12CA8" w:rsidRPr="007A7A27">
        <w:rPr>
          <w:rFonts w:asciiTheme="majorHAnsi" w:hAnsiTheme="majorHAnsi"/>
          <w:color w:val="000000" w:themeColor="text1"/>
        </w:rPr>
        <w:t xml:space="preserve"> and Mr Martin Cameron</w:t>
      </w:r>
      <w:r w:rsidR="00C12CA8" w:rsidRPr="007A7A27">
        <w:rPr>
          <w:rStyle w:val="FootnoteReference"/>
          <w:rFonts w:asciiTheme="majorHAnsi" w:hAnsiTheme="majorHAnsi"/>
          <w:color w:val="000000" w:themeColor="text1"/>
        </w:rPr>
        <w:footnoteReference w:id="4"/>
      </w:r>
    </w:p>
    <w:p w14:paraId="520B9CC7" w14:textId="77777777" w:rsidR="00CA4F84" w:rsidRPr="007A7A27" w:rsidRDefault="00CA4F84" w:rsidP="007A7A27">
      <w:pPr>
        <w:spacing w:line="360" w:lineRule="auto"/>
        <w:jc w:val="both"/>
        <w:rPr>
          <w:rFonts w:asciiTheme="majorHAnsi" w:hAnsiTheme="majorHAnsi"/>
          <w:b/>
          <w:color w:val="000000" w:themeColor="text1"/>
        </w:rPr>
      </w:pPr>
    </w:p>
    <w:p w14:paraId="228A6C11" w14:textId="77777777" w:rsidR="00F15BBC" w:rsidRPr="007A7A27" w:rsidRDefault="00F15BBC" w:rsidP="007A7A27">
      <w:pPr>
        <w:spacing w:line="360" w:lineRule="auto"/>
        <w:jc w:val="both"/>
        <w:rPr>
          <w:rFonts w:asciiTheme="majorHAnsi" w:hAnsiTheme="majorHAnsi"/>
          <w:b/>
          <w:color w:val="000000" w:themeColor="text1"/>
        </w:rPr>
      </w:pPr>
      <w:r w:rsidRPr="007A7A27">
        <w:rPr>
          <w:rFonts w:asciiTheme="majorHAnsi" w:hAnsiTheme="majorHAnsi"/>
          <w:b/>
          <w:color w:val="000000" w:themeColor="text1"/>
        </w:rPr>
        <w:t>ABSTRACT</w:t>
      </w:r>
    </w:p>
    <w:p w14:paraId="352C3017" w14:textId="30E4DD6C" w:rsidR="006B3108" w:rsidRDefault="00971D82" w:rsidP="007A7A27">
      <w:pPr>
        <w:spacing w:after="0" w:line="360" w:lineRule="auto"/>
        <w:jc w:val="both"/>
        <w:rPr>
          <w:rFonts w:asciiTheme="majorHAnsi" w:hAnsiTheme="majorHAnsi" w:cstheme="minorHAnsi"/>
          <w:color w:val="000000" w:themeColor="text1"/>
        </w:rPr>
      </w:pPr>
      <w:r>
        <w:rPr>
          <w:rFonts w:asciiTheme="majorHAnsi" w:hAnsiTheme="majorHAnsi" w:cstheme="minorHAnsi"/>
          <w:color w:val="000000" w:themeColor="text1"/>
        </w:rPr>
        <w:t>All over the world the services sector is becoming an increasingly important contributor to employment, economic growth and development (Purfield et al., 2014; OECD, 2016). Advances in technology have been a major catalyst in this regard, reducing the “proximity burden” by enabling many sectors to provide services via the internet and other electronic platforms without the traditional constraints of suppliers and buyers needing to be in physical contact</w:t>
      </w:r>
      <w:r w:rsidR="00BB4374">
        <w:rPr>
          <w:rFonts w:asciiTheme="majorHAnsi" w:hAnsiTheme="majorHAnsi" w:cstheme="minorHAnsi"/>
          <w:color w:val="000000" w:themeColor="text1"/>
        </w:rPr>
        <w:t xml:space="preserve"> with one another</w:t>
      </w:r>
      <w:r>
        <w:rPr>
          <w:rFonts w:asciiTheme="majorHAnsi" w:hAnsiTheme="majorHAnsi" w:cstheme="minorHAnsi"/>
          <w:color w:val="000000" w:themeColor="text1"/>
        </w:rPr>
        <w:t xml:space="preserve"> (Christen &amp; Francois, 2010). </w:t>
      </w:r>
      <w:r w:rsidR="009C42C4">
        <w:rPr>
          <w:rFonts w:asciiTheme="majorHAnsi" w:hAnsiTheme="majorHAnsi" w:cstheme="minorHAnsi"/>
          <w:color w:val="000000" w:themeColor="text1"/>
        </w:rPr>
        <w:t xml:space="preserve">Surging digital connectivity is having a profound effect on </w:t>
      </w:r>
      <w:r w:rsidR="0045129C">
        <w:rPr>
          <w:rFonts w:asciiTheme="majorHAnsi" w:hAnsiTheme="majorHAnsi" w:cstheme="minorHAnsi"/>
          <w:color w:val="000000" w:themeColor="text1"/>
        </w:rPr>
        <w:t>the</w:t>
      </w:r>
      <w:r w:rsidR="009C42C4">
        <w:rPr>
          <w:rFonts w:asciiTheme="majorHAnsi" w:hAnsiTheme="majorHAnsi" w:cstheme="minorHAnsi"/>
          <w:color w:val="000000" w:themeColor="text1"/>
        </w:rPr>
        <w:t xml:space="preserve"> trade in services, </w:t>
      </w:r>
      <w:r w:rsidR="00D06810">
        <w:rPr>
          <w:rFonts w:asciiTheme="majorHAnsi" w:hAnsiTheme="majorHAnsi" w:cstheme="minorHAnsi"/>
          <w:color w:val="000000" w:themeColor="text1"/>
        </w:rPr>
        <w:t xml:space="preserve">significantly </w:t>
      </w:r>
      <w:r w:rsidR="005F2E9C">
        <w:rPr>
          <w:rFonts w:asciiTheme="majorHAnsi" w:hAnsiTheme="majorHAnsi" w:cstheme="minorHAnsi"/>
          <w:color w:val="000000" w:themeColor="text1"/>
        </w:rPr>
        <w:t xml:space="preserve">expanding the scope for </w:t>
      </w:r>
      <w:r w:rsidR="00D06810">
        <w:rPr>
          <w:rFonts w:asciiTheme="majorHAnsi" w:hAnsiTheme="majorHAnsi" w:cstheme="minorHAnsi"/>
          <w:color w:val="000000" w:themeColor="text1"/>
        </w:rPr>
        <w:t>firms to</w:t>
      </w:r>
      <w:r w:rsidR="005F2E9C">
        <w:rPr>
          <w:rFonts w:asciiTheme="majorHAnsi" w:hAnsiTheme="majorHAnsi" w:cstheme="minorHAnsi"/>
          <w:color w:val="000000" w:themeColor="text1"/>
        </w:rPr>
        <w:t xml:space="preserve"> market</w:t>
      </w:r>
      <w:r w:rsidR="00D06810">
        <w:rPr>
          <w:rFonts w:asciiTheme="majorHAnsi" w:hAnsiTheme="majorHAnsi" w:cstheme="minorHAnsi"/>
          <w:color w:val="000000" w:themeColor="text1"/>
        </w:rPr>
        <w:t xml:space="preserve"> their</w:t>
      </w:r>
      <w:r w:rsidR="009C42C4">
        <w:rPr>
          <w:rFonts w:asciiTheme="majorHAnsi" w:hAnsiTheme="majorHAnsi" w:cstheme="minorHAnsi"/>
          <w:color w:val="000000" w:themeColor="text1"/>
        </w:rPr>
        <w:t xml:space="preserve"> transport</w:t>
      </w:r>
      <w:r w:rsidR="00E51128">
        <w:rPr>
          <w:rFonts w:asciiTheme="majorHAnsi" w:hAnsiTheme="majorHAnsi" w:cstheme="minorHAnsi"/>
          <w:color w:val="000000" w:themeColor="text1"/>
        </w:rPr>
        <w:t>, telecommunications</w:t>
      </w:r>
      <w:r w:rsidR="009C42C4">
        <w:rPr>
          <w:rFonts w:asciiTheme="majorHAnsi" w:hAnsiTheme="majorHAnsi" w:cstheme="minorHAnsi"/>
          <w:color w:val="000000" w:themeColor="text1"/>
        </w:rPr>
        <w:t xml:space="preserve"> </w:t>
      </w:r>
      <w:r w:rsidR="00E51128">
        <w:rPr>
          <w:rFonts w:asciiTheme="majorHAnsi" w:hAnsiTheme="majorHAnsi" w:cstheme="minorHAnsi"/>
          <w:color w:val="000000" w:themeColor="text1"/>
        </w:rPr>
        <w:t>and</w:t>
      </w:r>
      <w:r w:rsidR="005F2E9C">
        <w:rPr>
          <w:rFonts w:asciiTheme="majorHAnsi" w:hAnsiTheme="majorHAnsi" w:cstheme="minorHAnsi"/>
          <w:color w:val="000000" w:themeColor="text1"/>
        </w:rPr>
        <w:t xml:space="preserve"> many other services</w:t>
      </w:r>
      <w:r w:rsidR="0046374F">
        <w:rPr>
          <w:rFonts w:asciiTheme="majorHAnsi" w:hAnsiTheme="majorHAnsi" w:cstheme="minorHAnsi"/>
          <w:color w:val="000000" w:themeColor="text1"/>
        </w:rPr>
        <w:t xml:space="preserve"> to widely dispersed target audiences</w:t>
      </w:r>
      <w:r w:rsidR="009C42C4">
        <w:rPr>
          <w:rFonts w:asciiTheme="majorHAnsi" w:hAnsiTheme="majorHAnsi" w:cstheme="minorHAnsi"/>
          <w:color w:val="000000" w:themeColor="text1"/>
        </w:rPr>
        <w:t>.</w:t>
      </w:r>
    </w:p>
    <w:p w14:paraId="0689E875" w14:textId="77777777" w:rsidR="006B3108" w:rsidRDefault="006B3108" w:rsidP="007A7A27">
      <w:pPr>
        <w:spacing w:after="0" w:line="360" w:lineRule="auto"/>
        <w:jc w:val="both"/>
        <w:rPr>
          <w:rFonts w:asciiTheme="majorHAnsi" w:hAnsiTheme="majorHAnsi" w:cstheme="minorHAnsi"/>
          <w:color w:val="000000" w:themeColor="text1"/>
        </w:rPr>
      </w:pPr>
    </w:p>
    <w:p w14:paraId="10A72A5C" w14:textId="096131AB" w:rsidR="00F06095" w:rsidRDefault="006B3108" w:rsidP="007A7A27">
      <w:pPr>
        <w:spacing w:after="0" w:line="360" w:lineRule="auto"/>
        <w:jc w:val="both"/>
        <w:rPr>
          <w:rFonts w:asciiTheme="majorHAnsi" w:hAnsiTheme="majorHAnsi" w:cstheme="minorHAnsi"/>
          <w:color w:val="000000" w:themeColor="text1"/>
        </w:rPr>
      </w:pPr>
      <w:r>
        <w:rPr>
          <w:rFonts w:asciiTheme="majorHAnsi" w:hAnsiTheme="majorHAnsi" w:cstheme="minorHAnsi"/>
          <w:color w:val="000000" w:themeColor="text1"/>
        </w:rPr>
        <w:t xml:space="preserve">Services actually </w:t>
      </w:r>
      <w:r w:rsidR="009A6C3C">
        <w:rPr>
          <w:rFonts w:asciiTheme="majorHAnsi" w:hAnsiTheme="majorHAnsi" w:cstheme="minorHAnsi"/>
          <w:color w:val="000000" w:themeColor="text1"/>
        </w:rPr>
        <w:t>perform</w:t>
      </w:r>
      <w:r>
        <w:rPr>
          <w:rFonts w:asciiTheme="majorHAnsi" w:hAnsiTheme="majorHAnsi" w:cstheme="minorHAnsi"/>
          <w:color w:val="000000" w:themeColor="text1"/>
        </w:rPr>
        <w:t xml:space="preserve"> a dual role. While they can be traded and consumed directly, they can also embellish and streamline the trade in tangible goods. S</w:t>
      </w:r>
      <w:r w:rsidR="00971D82">
        <w:rPr>
          <w:rFonts w:asciiTheme="majorHAnsi" w:hAnsiTheme="majorHAnsi" w:cstheme="minorHAnsi"/>
          <w:color w:val="000000" w:themeColor="text1"/>
        </w:rPr>
        <w:t xml:space="preserve">ervices </w:t>
      </w:r>
      <w:r>
        <w:rPr>
          <w:rFonts w:asciiTheme="majorHAnsi" w:hAnsiTheme="majorHAnsi" w:cstheme="minorHAnsi"/>
          <w:color w:val="000000" w:themeColor="text1"/>
        </w:rPr>
        <w:t>often</w:t>
      </w:r>
      <w:r w:rsidR="00971D82">
        <w:rPr>
          <w:rFonts w:asciiTheme="majorHAnsi" w:hAnsiTheme="majorHAnsi" w:cstheme="minorHAnsi"/>
          <w:color w:val="000000" w:themeColor="text1"/>
        </w:rPr>
        <w:t xml:space="preserve"> constitute vital inputs in the manufacture of goods </w:t>
      </w:r>
      <w:r w:rsidR="00D06810">
        <w:rPr>
          <w:rFonts w:asciiTheme="majorHAnsi" w:hAnsiTheme="majorHAnsi" w:cstheme="minorHAnsi"/>
          <w:color w:val="000000" w:themeColor="text1"/>
        </w:rPr>
        <w:t>and</w:t>
      </w:r>
      <w:r w:rsidR="00971D82">
        <w:rPr>
          <w:rFonts w:asciiTheme="majorHAnsi" w:hAnsiTheme="majorHAnsi" w:cstheme="minorHAnsi"/>
          <w:color w:val="000000" w:themeColor="text1"/>
        </w:rPr>
        <w:t xml:space="preserve">, when creatively combined, </w:t>
      </w:r>
      <w:r w:rsidR="00D06810">
        <w:rPr>
          <w:rFonts w:asciiTheme="majorHAnsi" w:hAnsiTheme="majorHAnsi" w:cstheme="minorHAnsi"/>
          <w:color w:val="000000" w:themeColor="text1"/>
        </w:rPr>
        <w:t xml:space="preserve">can </w:t>
      </w:r>
      <w:r w:rsidR="00971D82">
        <w:rPr>
          <w:rFonts w:asciiTheme="majorHAnsi" w:hAnsiTheme="majorHAnsi" w:cstheme="minorHAnsi"/>
          <w:color w:val="000000" w:themeColor="text1"/>
        </w:rPr>
        <w:t xml:space="preserve">unleash new forms of competitive advantage. </w:t>
      </w:r>
      <w:r w:rsidR="00FA4EDC">
        <w:rPr>
          <w:rFonts w:asciiTheme="majorHAnsi" w:hAnsiTheme="majorHAnsi" w:cstheme="minorHAnsi"/>
          <w:color w:val="000000" w:themeColor="text1"/>
        </w:rPr>
        <w:t xml:space="preserve">For example, many traditional manufactured goods contain technology that requires installation, maintenance and repairs (Nagel, 2016). Furthermore, the competitiveness of many manufacturing firms is heavily dependent on low-cost, high-quality telecommunications, transport, financial and other business services (Francois &amp; Hoekman, 2010). </w:t>
      </w:r>
      <w:r w:rsidR="005602D9">
        <w:rPr>
          <w:rFonts w:asciiTheme="majorHAnsi" w:hAnsiTheme="majorHAnsi" w:cstheme="minorHAnsi"/>
          <w:color w:val="000000" w:themeColor="text1"/>
        </w:rPr>
        <w:t xml:space="preserve">According to Roy (2016), certain services constitute crucial links in global supply chains, such as R&amp;D, engineering, financial services, marketing, transport and logistics, and (at the end of the chain) wholesale and retail. </w:t>
      </w:r>
    </w:p>
    <w:p w14:paraId="3558B0A6" w14:textId="77777777" w:rsidR="00F06095" w:rsidRDefault="00F06095" w:rsidP="007A7A27">
      <w:pPr>
        <w:spacing w:after="0" w:line="360" w:lineRule="auto"/>
        <w:jc w:val="both"/>
        <w:rPr>
          <w:rFonts w:asciiTheme="majorHAnsi" w:hAnsiTheme="majorHAnsi" w:cstheme="minorHAnsi"/>
          <w:color w:val="000000" w:themeColor="text1"/>
        </w:rPr>
      </w:pPr>
    </w:p>
    <w:p w14:paraId="6CFAA817" w14:textId="77777777" w:rsidR="00F17DC7" w:rsidRDefault="00F06095" w:rsidP="00F06095">
      <w:pPr>
        <w:spacing w:after="0" w:line="360" w:lineRule="auto"/>
        <w:jc w:val="both"/>
        <w:rPr>
          <w:rFonts w:asciiTheme="majorHAnsi" w:hAnsiTheme="majorHAnsi" w:cstheme="minorHAnsi"/>
          <w:color w:val="000000" w:themeColor="text1"/>
        </w:rPr>
      </w:pPr>
      <w:r>
        <w:rPr>
          <w:rFonts w:asciiTheme="majorHAnsi" w:hAnsiTheme="majorHAnsi" w:cstheme="minorHAnsi"/>
          <w:color w:val="000000" w:themeColor="text1"/>
        </w:rPr>
        <w:t xml:space="preserve">The OECD (2016) </w:t>
      </w:r>
      <w:r w:rsidR="0045129C">
        <w:rPr>
          <w:rFonts w:asciiTheme="majorHAnsi" w:hAnsiTheme="majorHAnsi" w:cstheme="minorHAnsi"/>
          <w:color w:val="000000" w:themeColor="text1"/>
        </w:rPr>
        <w:t>states</w:t>
      </w:r>
      <w:r>
        <w:rPr>
          <w:rFonts w:asciiTheme="majorHAnsi" w:hAnsiTheme="majorHAnsi" w:cstheme="minorHAnsi"/>
          <w:color w:val="000000" w:themeColor="text1"/>
        </w:rPr>
        <w:t xml:space="preserve"> that in many countries, services export growth has surpassed merchandise export growth</w:t>
      </w:r>
      <w:r w:rsidR="006B3108">
        <w:rPr>
          <w:rFonts w:asciiTheme="majorHAnsi" w:hAnsiTheme="majorHAnsi" w:cstheme="minorHAnsi"/>
          <w:color w:val="000000" w:themeColor="text1"/>
        </w:rPr>
        <w:t xml:space="preserve">. The share of services in total global trade will in all likelihood continue to rise in the face of </w:t>
      </w:r>
      <w:r w:rsidR="00D06810">
        <w:rPr>
          <w:rFonts w:asciiTheme="majorHAnsi" w:hAnsiTheme="majorHAnsi" w:cstheme="minorHAnsi"/>
          <w:color w:val="000000" w:themeColor="text1"/>
        </w:rPr>
        <w:t>ongoing</w:t>
      </w:r>
      <w:r w:rsidR="006B3108">
        <w:rPr>
          <w:rFonts w:asciiTheme="majorHAnsi" w:hAnsiTheme="majorHAnsi" w:cstheme="minorHAnsi"/>
          <w:color w:val="000000" w:themeColor="text1"/>
        </w:rPr>
        <w:t xml:space="preserve"> technology-</w:t>
      </w:r>
      <w:r w:rsidR="004B4C60">
        <w:rPr>
          <w:rFonts w:asciiTheme="majorHAnsi" w:hAnsiTheme="majorHAnsi" w:cstheme="minorHAnsi"/>
          <w:color w:val="000000" w:themeColor="text1"/>
        </w:rPr>
        <w:t>rich</w:t>
      </w:r>
      <w:r w:rsidR="006B3108">
        <w:rPr>
          <w:rFonts w:asciiTheme="majorHAnsi" w:hAnsiTheme="majorHAnsi" w:cstheme="minorHAnsi"/>
          <w:color w:val="000000" w:themeColor="text1"/>
        </w:rPr>
        <w:t xml:space="preserve"> innovation</w:t>
      </w:r>
      <w:r w:rsidR="004B4C60">
        <w:rPr>
          <w:rFonts w:asciiTheme="majorHAnsi" w:hAnsiTheme="majorHAnsi" w:cstheme="minorHAnsi"/>
          <w:color w:val="000000" w:themeColor="text1"/>
        </w:rPr>
        <w:t>s</w:t>
      </w:r>
      <w:r w:rsidR="006B3108">
        <w:rPr>
          <w:rFonts w:asciiTheme="majorHAnsi" w:hAnsiTheme="majorHAnsi" w:cstheme="minorHAnsi"/>
          <w:color w:val="000000" w:themeColor="text1"/>
        </w:rPr>
        <w:t xml:space="preserve">, while </w:t>
      </w:r>
      <w:r w:rsidR="00D06810">
        <w:rPr>
          <w:rFonts w:asciiTheme="majorHAnsi" w:hAnsiTheme="majorHAnsi" w:cstheme="minorHAnsi"/>
          <w:color w:val="000000" w:themeColor="text1"/>
        </w:rPr>
        <w:t>continuing</w:t>
      </w:r>
      <w:r w:rsidR="006B3108">
        <w:rPr>
          <w:rFonts w:asciiTheme="majorHAnsi" w:hAnsiTheme="majorHAnsi" w:cstheme="minorHAnsi"/>
          <w:color w:val="000000" w:themeColor="text1"/>
        </w:rPr>
        <w:t xml:space="preserve"> liberalisation efforts will act as a further stimulant. However, </w:t>
      </w:r>
      <w:r w:rsidR="008C3193">
        <w:rPr>
          <w:rFonts w:asciiTheme="majorHAnsi" w:hAnsiTheme="majorHAnsi" w:cstheme="minorHAnsi"/>
          <w:color w:val="000000" w:themeColor="text1"/>
        </w:rPr>
        <w:t>there are many barriers to the trade in services.</w:t>
      </w:r>
      <w:r>
        <w:rPr>
          <w:rFonts w:asciiTheme="majorHAnsi" w:hAnsiTheme="majorHAnsi" w:cstheme="minorHAnsi"/>
          <w:color w:val="000000" w:themeColor="text1"/>
        </w:rPr>
        <w:t xml:space="preserve"> </w:t>
      </w:r>
      <w:r w:rsidR="008C3193">
        <w:rPr>
          <w:rFonts w:asciiTheme="majorHAnsi" w:hAnsiTheme="majorHAnsi" w:cstheme="minorHAnsi"/>
          <w:color w:val="000000" w:themeColor="text1"/>
        </w:rPr>
        <w:t>R</w:t>
      </w:r>
      <w:r>
        <w:rPr>
          <w:rFonts w:asciiTheme="majorHAnsi" w:hAnsiTheme="majorHAnsi" w:cstheme="minorHAnsi"/>
          <w:color w:val="000000" w:themeColor="text1"/>
        </w:rPr>
        <w:t xml:space="preserve">educing </w:t>
      </w:r>
      <w:r w:rsidR="008C3193">
        <w:rPr>
          <w:rFonts w:asciiTheme="majorHAnsi" w:hAnsiTheme="majorHAnsi" w:cstheme="minorHAnsi"/>
          <w:color w:val="000000" w:themeColor="text1"/>
        </w:rPr>
        <w:t>these barriers</w:t>
      </w:r>
      <w:r>
        <w:rPr>
          <w:rFonts w:asciiTheme="majorHAnsi" w:hAnsiTheme="majorHAnsi" w:cstheme="minorHAnsi"/>
          <w:color w:val="000000" w:themeColor="text1"/>
        </w:rPr>
        <w:t xml:space="preserve"> will help to boost global trade</w:t>
      </w:r>
      <w:r w:rsidR="008C3193">
        <w:rPr>
          <w:rFonts w:asciiTheme="majorHAnsi" w:hAnsiTheme="majorHAnsi" w:cstheme="minorHAnsi"/>
          <w:color w:val="000000" w:themeColor="text1"/>
        </w:rPr>
        <w:t xml:space="preserve"> and spur higher levels and new forms of employment – which is crucial in a world gripped by </w:t>
      </w:r>
      <w:r w:rsidR="002850A2">
        <w:rPr>
          <w:rFonts w:asciiTheme="majorHAnsi" w:hAnsiTheme="majorHAnsi" w:cstheme="minorHAnsi"/>
          <w:color w:val="000000" w:themeColor="text1"/>
        </w:rPr>
        <w:t>a shortage of jobs</w:t>
      </w:r>
      <w:r w:rsidR="006B3108">
        <w:rPr>
          <w:rFonts w:asciiTheme="majorHAnsi" w:hAnsiTheme="majorHAnsi" w:cstheme="minorHAnsi"/>
          <w:color w:val="000000" w:themeColor="text1"/>
        </w:rPr>
        <w:t>.</w:t>
      </w:r>
      <w:r w:rsidR="00F17DC7">
        <w:rPr>
          <w:rFonts w:asciiTheme="majorHAnsi" w:hAnsiTheme="majorHAnsi" w:cstheme="minorHAnsi"/>
          <w:color w:val="000000" w:themeColor="text1"/>
        </w:rPr>
        <w:br w:type="page"/>
      </w:r>
    </w:p>
    <w:p w14:paraId="1A86A3AA" w14:textId="42DF4E38" w:rsidR="00971D82" w:rsidRDefault="00971D82" w:rsidP="007A7A27">
      <w:pPr>
        <w:spacing w:after="0" w:line="360" w:lineRule="auto"/>
        <w:jc w:val="both"/>
        <w:rPr>
          <w:rFonts w:asciiTheme="majorHAnsi" w:hAnsiTheme="majorHAnsi" w:cstheme="minorHAnsi"/>
          <w:color w:val="000000" w:themeColor="text1"/>
        </w:rPr>
      </w:pPr>
      <w:r>
        <w:rPr>
          <w:rFonts w:asciiTheme="majorHAnsi" w:hAnsiTheme="majorHAnsi" w:cstheme="minorHAnsi"/>
          <w:color w:val="000000" w:themeColor="text1"/>
        </w:rPr>
        <w:lastRenderedPageBreak/>
        <w:t>Despite the pivotal role that services play, both directly and indirectly, in global trade, many countries lack a formal services trade strategy. As a result, there is no clear conse</w:t>
      </w:r>
      <w:r w:rsidR="00F06095">
        <w:rPr>
          <w:rFonts w:asciiTheme="majorHAnsi" w:hAnsiTheme="majorHAnsi" w:cstheme="minorHAnsi"/>
          <w:color w:val="000000" w:themeColor="text1"/>
        </w:rPr>
        <w:t>nsus on which service</w:t>
      </w:r>
      <w:r>
        <w:rPr>
          <w:rFonts w:asciiTheme="majorHAnsi" w:hAnsiTheme="majorHAnsi" w:cstheme="minorHAnsi"/>
          <w:color w:val="000000" w:themeColor="text1"/>
        </w:rPr>
        <w:t xml:space="preserve"> sectors and target markets to prioritise and how to </w:t>
      </w:r>
      <w:r w:rsidR="00F06095">
        <w:rPr>
          <w:rFonts w:asciiTheme="majorHAnsi" w:hAnsiTheme="majorHAnsi" w:cstheme="minorHAnsi"/>
          <w:color w:val="000000" w:themeColor="text1"/>
        </w:rPr>
        <w:t xml:space="preserve">best </w:t>
      </w:r>
      <w:r>
        <w:rPr>
          <w:rFonts w:asciiTheme="majorHAnsi" w:hAnsiTheme="majorHAnsi" w:cstheme="minorHAnsi"/>
          <w:color w:val="000000" w:themeColor="text1"/>
        </w:rPr>
        <w:t xml:space="preserve">allocate resources to take advantage of emerging opportunities. A services trade strategy </w:t>
      </w:r>
      <w:r w:rsidR="00F06095">
        <w:rPr>
          <w:rFonts w:asciiTheme="majorHAnsi" w:hAnsiTheme="majorHAnsi" w:cstheme="minorHAnsi"/>
          <w:color w:val="000000" w:themeColor="text1"/>
        </w:rPr>
        <w:t>should</w:t>
      </w:r>
      <w:r>
        <w:rPr>
          <w:rFonts w:asciiTheme="majorHAnsi" w:hAnsiTheme="majorHAnsi" w:cstheme="minorHAnsi"/>
          <w:color w:val="000000" w:themeColor="text1"/>
        </w:rPr>
        <w:t xml:space="preserve"> </w:t>
      </w:r>
      <w:r w:rsidR="008C3193">
        <w:rPr>
          <w:rFonts w:asciiTheme="majorHAnsi" w:hAnsiTheme="majorHAnsi" w:cstheme="minorHAnsi"/>
          <w:color w:val="000000" w:themeColor="text1"/>
        </w:rPr>
        <w:t>turn</w:t>
      </w:r>
      <w:r>
        <w:rPr>
          <w:rFonts w:asciiTheme="majorHAnsi" w:hAnsiTheme="majorHAnsi" w:cstheme="minorHAnsi"/>
          <w:color w:val="000000" w:themeColor="text1"/>
        </w:rPr>
        <w:t xml:space="preserve"> a vision of a better future</w:t>
      </w:r>
      <w:r w:rsidR="009A0FF9">
        <w:rPr>
          <w:rFonts w:asciiTheme="majorHAnsi" w:hAnsiTheme="majorHAnsi" w:cstheme="minorHAnsi"/>
          <w:color w:val="000000" w:themeColor="text1"/>
        </w:rPr>
        <w:t>,</w:t>
      </w:r>
      <w:r w:rsidR="0062683F">
        <w:rPr>
          <w:rFonts w:asciiTheme="majorHAnsi" w:hAnsiTheme="majorHAnsi" w:cstheme="minorHAnsi"/>
          <w:color w:val="000000" w:themeColor="text1"/>
        </w:rPr>
        <w:t xml:space="preserve"> </w:t>
      </w:r>
      <w:r w:rsidR="00391699">
        <w:rPr>
          <w:rFonts w:asciiTheme="majorHAnsi" w:hAnsiTheme="majorHAnsi" w:cstheme="minorHAnsi"/>
          <w:color w:val="000000" w:themeColor="text1"/>
        </w:rPr>
        <w:t>created</w:t>
      </w:r>
      <w:r w:rsidR="0062683F">
        <w:rPr>
          <w:rFonts w:asciiTheme="majorHAnsi" w:hAnsiTheme="majorHAnsi" w:cstheme="minorHAnsi"/>
          <w:color w:val="000000" w:themeColor="text1"/>
        </w:rPr>
        <w:t xml:space="preserve"> by</w:t>
      </w:r>
      <w:r>
        <w:rPr>
          <w:rFonts w:asciiTheme="majorHAnsi" w:hAnsiTheme="majorHAnsi" w:cstheme="minorHAnsi"/>
          <w:color w:val="000000" w:themeColor="text1"/>
        </w:rPr>
        <w:t xml:space="preserve"> </w:t>
      </w:r>
      <w:r w:rsidR="0062683F">
        <w:rPr>
          <w:rFonts w:asciiTheme="majorHAnsi" w:hAnsiTheme="majorHAnsi" w:cstheme="minorHAnsi"/>
          <w:color w:val="000000" w:themeColor="text1"/>
        </w:rPr>
        <w:t xml:space="preserve">an optimal blend of </w:t>
      </w:r>
      <w:r w:rsidR="00391699">
        <w:rPr>
          <w:rFonts w:asciiTheme="majorHAnsi" w:hAnsiTheme="majorHAnsi" w:cstheme="minorHAnsi"/>
          <w:color w:val="000000" w:themeColor="text1"/>
        </w:rPr>
        <w:t>imported and exported services</w:t>
      </w:r>
      <w:r w:rsidR="0062683F">
        <w:rPr>
          <w:rFonts w:asciiTheme="majorHAnsi" w:hAnsiTheme="majorHAnsi" w:cstheme="minorHAnsi"/>
          <w:color w:val="000000" w:themeColor="text1"/>
        </w:rPr>
        <w:t>,</w:t>
      </w:r>
      <w:r>
        <w:rPr>
          <w:rFonts w:asciiTheme="majorHAnsi" w:hAnsiTheme="majorHAnsi" w:cstheme="minorHAnsi"/>
          <w:color w:val="000000" w:themeColor="text1"/>
        </w:rPr>
        <w:t xml:space="preserve"> into a </w:t>
      </w:r>
      <w:r w:rsidR="0062683F">
        <w:rPr>
          <w:rFonts w:asciiTheme="majorHAnsi" w:hAnsiTheme="majorHAnsi" w:cstheme="minorHAnsi"/>
          <w:color w:val="000000" w:themeColor="text1"/>
        </w:rPr>
        <w:t xml:space="preserve">feasible </w:t>
      </w:r>
      <w:r>
        <w:rPr>
          <w:rFonts w:asciiTheme="majorHAnsi" w:hAnsiTheme="majorHAnsi" w:cstheme="minorHAnsi"/>
          <w:color w:val="000000" w:themeColor="text1"/>
        </w:rPr>
        <w:t>collection of interventions that have the buy-in of b</w:t>
      </w:r>
      <w:r w:rsidR="008C3193">
        <w:rPr>
          <w:rFonts w:asciiTheme="majorHAnsi" w:hAnsiTheme="majorHAnsi" w:cstheme="minorHAnsi"/>
          <w:color w:val="000000" w:themeColor="text1"/>
        </w:rPr>
        <w:t>oth government and business</w:t>
      </w:r>
      <w:r w:rsidR="0062683F">
        <w:rPr>
          <w:rFonts w:asciiTheme="majorHAnsi" w:hAnsiTheme="majorHAnsi" w:cstheme="minorHAnsi"/>
          <w:color w:val="000000" w:themeColor="text1"/>
        </w:rPr>
        <w:t>,</w:t>
      </w:r>
      <w:r>
        <w:rPr>
          <w:rFonts w:asciiTheme="majorHAnsi" w:hAnsiTheme="majorHAnsi" w:cstheme="minorHAnsi"/>
          <w:color w:val="000000" w:themeColor="text1"/>
        </w:rPr>
        <w:t xml:space="preserve"> but also address the needs and concerns of those on the economic fringes – the unemployed, the poor and other marginalised communities. </w:t>
      </w:r>
    </w:p>
    <w:p w14:paraId="2CA2ACCE" w14:textId="77777777" w:rsidR="00971D82" w:rsidRDefault="00971D82" w:rsidP="007A7A27">
      <w:pPr>
        <w:spacing w:after="0" w:line="360" w:lineRule="auto"/>
        <w:jc w:val="both"/>
        <w:rPr>
          <w:rFonts w:asciiTheme="majorHAnsi" w:hAnsiTheme="majorHAnsi" w:cstheme="minorHAnsi"/>
          <w:color w:val="000000" w:themeColor="text1"/>
        </w:rPr>
      </w:pPr>
    </w:p>
    <w:p w14:paraId="6DA95E10" w14:textId="7D11EFE1" w:rsidR="00971D82" w:rsidRDefault="00971D82" w:rsidP="007A7A27">
      <w:pPr>
        <w:spacing w:after="0" w:line="360" w:lineRule="auto"/>
        <w:jc w:val="both"/>
        <w:rPr>
          <w:rFonts w:asciiTheme="majorHAnsi" w:hAnsiTheme="majorHAnsi" w:cstheme="minorHAnsi"/>
          <w:color w:val="000000" w:themeColor="text1"/>
        </w:rPr>
      </w:pPr>
      <w:r>
        <w:rPr>
          <w:rFonts w:asciiTheme="majorHAnsi" w:hAnsiTheme="majorHAnsi" w:cstheme="minorHAnsi"/>
          <w:color w:val="000000" w:themeColor="text1"/>
        </w:rPr>
        <w:t>South Africa, like many other developing countries (especially in Africa)</w:t>
      </w:r>
      <w:r w:rsidR="004B4C60">
        <w:rPr>
          <w:rFonts w:asciiTheme="majorHAnsi" w:hAnsiTheme="majorHAnsi" w:cstheme="minorHAnsi"/>
          <w:color w:val="000000" w:themeColor="text1"/>
        </w:rPr>
        <w:t>,</w:t>
      </w:r>
      <w:r>
        <w:rPr>
          <w:rFonts w:asciiTheme="majorHAnsi" w:hAnsiTheme="majorHAnsi" w:cstheme="minorHAnsi"/>
          <w:color w:val="000000" w:themeColor="text1"/>
        </w:rPr>
        <w:t xml:space="preserve"> has in recent years seen its share of global trade decline, which has mainly been prompted by shrinking demand for its exports in many of its traditional markets (Steenkamp, Grater &amp; Viviers, 2010). The South African government has launched several wide-ranging economic initiatives at national, provincial and municipal levels in a bid to boost export revenues and also diversify the export mix with a view to reducing the country’s dependency </w:t>
      </w:r>
      <w:r w:rsidR="008C3193">
        <w:rPr>
          <w:rFonts w:asciiTheme="majorHAnsi" w:hAnsiTheme="majorHAnsi" w:cstheme="minorHAnsi"/>
          <w:color w:val="000000" w:themeColor="text1"/>
        </w:rPr>
        <w:t>on mineral</w:t>
      </w:r>
      <w:r>
        <w:rPr>
          <w:rFonts w:asciiTheme="majorHAnsi" w:hAnsiTheme="majorHAnsi" w:cstheme="minorHAnsi"/>
          <w:color w:val="000000" w:themeColor="text1"/>
        </w:rPr>
        <w:t xml:space="preserve"> and other commodity exports. These initiatives, which </w:t>
      </w:r>
      <w:r w:rsidR="0062683F">
        <w:rPr>
          <w:rFonts w:asciiTheme="majorHAnsi" w:hAnsiTheme="majorHAnsi" w:cstheme="minorHAnsi"/>
          <w:color w:val="000000" w:themeColor="text1"/>
        </w:rPr>
        <w:t>have</w:t>
      </w:r>
      <w:r>
        <w:rPr>
          <w:rFonts w:asciiTheme="majorHAnsi" w:hAnsiTheme="majorHAnsi" w:cstheme="minorHAnsi"/>
          <w:color w:val="000000" w:themeColor="text1"/>
        </w:rPr>
        <w:t xml:space="preserve"> largely </w:t>
      </w:r>
      <w:r w:rsidR="0062683F">
        <w:rPr>
          <w:rFonts w:asciiTheme="majorHAnsi" w:hAnsiTheme="majorHAnsi" w:cstheme="minorHAnsi"/>
          <w:color w:val="000000" w:themeColor="text1"/>
        </w:rPr>
        <w:t xml:space="preserve">been </w:t>
      </w:r>
      <w:r>
        <w:rPr>
          <w:rFonts w:asciiTheme="majorHAnsi" w:hAnsiTheme="majorHAnsi" w:cstheme="minorHAnsi"/>
          <w:color w:val="000000" w:themeColor="text1"/>
        </w:rPr>
        <w:t>directed at revi</w:t>
      </w:r>
      <w:r w:rsidR="00345DE9">
        <w:rPr>
          <w:rFonts w:asciiTheme="majorHAnsi" w:hAnsiTheme="majorHAnsi" w:cstheme="minorHAnsi"/>
          <w:color w:val="000000" w:themeColor="text1"/>
        </w:rPr>
        <w:t>v</w:t>
      </w:r>
      <w:r>
        <w:rPr>
          <w:rFonts w:asciiTheme="majorHAnsi" w:hAnsiTheme="majorHAnsi" w:cstheme="minorHAnsi"/>
          <w:color w:val="000000" w:themeColor="text1"/>
        </w:rPr>
        <w:t xml:space="preserve">ing South Africa’s waning industrial capacity, are outlined in various policy documents and strategic frameworks, including the National Development Plan (NDP) 2030, the Integrated National Export Strategy (INES), the National Industrial Policy </w:t>
      </w:r>
      <w:r w:rsidR="00811F1D">
        <w:rPr>
          <w:rFonts w:asciiTheme="majorHAnsi" w:hAnsiTheme="majorHAnsi" w:cstheme="minorHAnsi"/>
          <w:color w:val="000000" w:themeColor="text1"/>
        </w:rPr>
        <w:t>Framework (NIPF), the Industrial Policy Action Plan (IPAP) and the Trade Policy and Strategy Framework (TPSF) (DTI, 2010</w:t>
      </w:r>
      <w:r w:rsidR="00391699">
        <w:rPr>
          <w:rFonts w:asciiTheme="majorHAnsi" w:hAnsiTheme="majorHAnsi" w:cstheme="minorHAnsi"/>
          <w:color w:val="000000" w:themeColor="text1"/>
        </w:rPr>
        <w:t>,</w:t>
      </w:r>
      <w:r w:rsidR="00811F1D">
        <w:rPr>
          <w:rFonts w:asciiTheme="majorHAnsi" w:hAnsiTheme="majorHAnsi" w:cstheme="minorHAnsi"/>
          <w:color w:val="000000" w:themeColor="text1"/>
        </w:rPr>
        <w:t xml:space="preserve"> 2016; NPC, 2012). </w:t>
      </w:r>
      <w:r w:rsidR="00AB6140">
        <w:rPr>
          <w:rFonts w:asciiTheme="majorHAnsi" w:hAnsiTheme="majorHAnsi" w:cstheme="minorHAnsi"/>
          <w:color w:val="000000" w:themeColor="text1"/>
        </w:rPr>
        <w:t>Unfortunately</w:t>
      </w:r>
      <w:r w:rsidR="00811F1D">
        <w:rPr>
          <w:rFonts w:asciiTheme="majorHAnsi" w:hAnsiTheme="majorHAnsi" w:cstheme="minorHAnsi"/>
          <w:color w:val="000000" w:themeColor="text1"/>
        </w:rPr>
        <w:t xml:space="preserve">, these policies and strategies have not induced the much-needed change in South Africa’s export fortunes, partly because the </w:t>
      </w:r>
      <w:r w:rsidR="00345DE9">
        <w:rPr>
          <w:rFonts w:asciiTheme="majorHAnsi" w:hAnsiTheme="majorHAnsi" w:cstheme="minorHAnsi"/>
          <w:color w:val="000000" w:themeColor="text1"/>
        </w:rPr>
        <w:t>focus has tended to be</w:t>
      </w:r>
      <w:r w:rsidR="00811F1D">
        <w:rPr>
          <w:rFonts w:asciiTheme="majorHAnsi" w:hAnsiTheme="majorHAnsi" w:cstheme="minorHAnsi"/>
          <w:color w:val="000000" w:themeColor="text1"/>
        </w:rPr>
        <w:t xml:space="preserve"> on expanding employment opportunities </w:t>
      </w:r>
      <w:r w:rsidR="00391699">
        <w:rPr>
          <w:rFonts w:asciiTheme="majorHAnsi" w:hAnsiTheme="majorHAnsi" w:cstheme="minorHAnsi"/>
          <w:color w:val="000000" w:themeColor="text1"/>
        </w:rPr>
        <w:t>in the low-skill</w:t>
      </w:r>
      <w:r w:rsidR="00345DE9">
        <w:rPr>
          <w:rFonts w:asciiTheme="majorHAnsi" w:hAnsiTheme="majorHAnsi" w:cstheme="minorHAnsi"/>
          <w:color w:val="000000" w:themeColor="text1"/>
        </w:rPr>
        <w:t>, labour-intensive sectors</w:t>
      </w:r>
      <w:r w:rsidR="00811F1D">
        <w:rPr>
          <w:rFonts w:asciiTheme="majorHAnsi" w:hAnsiTheme="majorHAnsi" w:cstheme="minorHAnsi"/>
          <w:color w:val="000000" w:themeColor="text1"/>
        </w:rPr>
        <w:t xml:space="preserve"> rather than on building capacity and competitiveness in the value-added goods and services sectors. Though the former is extremely important, the latter would improve South Africa’s prospects of participating in global value chains and developing meaningful shares in high-growth markets</w:t>
      </w:r>
      <w:r w:rsidR="0080337B">
        <w:rPr>
          <w:rFonts w:asciiTheme="majorHAnsi" w:hAnsiTheme="majorHAnsi" w:cstheme="minorHAnsi"/>
          <w:color w:val="000000" w:themeColor="text1"/>
        </w:rPr>
        <w:t>.</w:t>
      </w:r>
      <w:r w:rsidR="00811F1D">
        <w:rPr>
          <w:rFonts w:asciiTheme="majorHAnsi" w:hAnsiTheme="majorHAnsi" w:cstheme="minorHAnsi"/>
          <w:color w:val="000000" w:themeColor="text1"/>
        </w:rPr>
        <w:t xml:space="preserve"> </w:t>
      </w:r>
    </w:p>
    <w:p w14:paraId="6B772A37" w14:textId="77777777" w:rsidR="00811F1D" w:rsidRDefault="00811F1D" w:rsidP="007A7A27">
      <w:pPr>
        <w:spacing w:after="0" w:line="360" w:lineRule="auto"/>
        <w:jc w:val="both"/>
        <w:rPr>
          <w:rFonts w:asciiTheme="majorHAnsi" w:hAnsiTheme="majorHAnsi" w:cstheme="minorHAnsi"/>
          <w:color w:val="000000" w:themeColor="text1"/>
        </w:rPr>
      </w:pPr>
    </w:p>
    <w:p w14:paraId="46F67AD3" w14:textId="452F368D" w:rsidR="00811F1D" w:rsidRDefault="00811F1D" w:rsidP="007A7A27">
      <w:pPr>
        <w:spacing w:after="0" w:line="360" w:lineRule="auto"/>
        <w:jc w:val="both"/>
        <w:rPr>
          <w:rFonts w:asciiTheme="majorHAnsi" w:hAnsiTheme="majorHAnsi" w:cstheme="minorHAnsi"/>
          <w:color w:val="000000" w:themeColor="text1"/>
        </w:rPr>
      </w:pPr>
      <w:r>
        <w:rPr>
          <w:rFonts w:asciiTheme="majorHAnsi" w:hAnsiTheme="majorHAnsi" w:cstheme="minorHAnsi"/>
          <w:color w:val="000000" w:themeColor="text1"/>
        </w:rPr>
        <w:t xml:space="preserve">In South Africa, the importance of the services sector has only recently started to receive serious attention </w:t>
      </w:r>
      <w:r w:rsidR="00391699">
        <w:rPr>
          <w:rFonts w:asciiTheme="majorHAnsi" w:hAnsiTheme="majorHAnsi" w:cstheme="minorHAnsi"/>
          <w:color w:val="000000" w:themeColor="text1"/>
        </w:rPr>
        <w:t>from</w:t>
      </w:r>
      <w:r>
        <w:rPr>
          <w:rFonts w:asciiTheme="majorHAnsi" w:hAnsiTheme="majorHAnsi" w:cstheme="minorHAnsi"/>
          <w:color w:val="000000" w:themeColor="text1"/>
        </w:rPr>
        <w:t xml:space="preserve"> the government. Yet the country still does not have a ‘formal’ trade strategy for services. The question therefore has to be asked: in the absence of a trade strategy for services, what informs</w:t>
      </w:r>
      <w:r w:rsidR="00AB6140">
        <w:rPr>
          <w:rFonts w:asciiTheme="majorHAnsi" w:hAnsiTheme="majorHAnsi" w:cstheme="minorHAnsi"/>
          <w:color w:val="000000" w:themeColor="text1"/>
        </w:rPr>
        <w:t xml:space="preserve"> South Africa’s services trade negotiations?</w:t>
      </w:r>
      <w:r>
        <w:rPr>
          <w:rFonts w:asciiTheme="majorHAnsi" w:hAnsiTheme="majorHAnsi" w:cstheme="minorHAnsi"/>
          <w:color w:val="000000" w:themeColor="text1"/>
        </w:rPr>
        <w:t xml:space="preserve"> According to the World Bank (2009), developing country members of the WTO are often compromised in their ability to engage meaningfully in services trade negotiations because they enter into</w:t>
      </w:r>
      <w:r w:rsidR="00345DE9">
        <w:rPr>
          <w:rFonts w:asciiTheme="majorHAnsi" w:hAnsiTheme="majorHAnsi" w:cstheme="minorHAnsi"/>
          <w:color w:val="000000" w:themeColor="text1"/>
        </w:rPr>
        <w:t xml:space="preserve"> these</w:t>
      </w:r>
      <w:r>
        <w:rPr>
          <w:rFonts w:asciiTheme="majorHAnsi" w:hAnsiTheme="majorHAnsi" w:cstheme="minorHAnsi"/>
          <w:color w:val="000000" w:themeColor="text1"/>
        </w:rPr>
        <w:t xml:space="preserve"> negotiations without a proper services roadmap, which is exacerbated by generally weak negotiating, regulatory and implementation capacities.</w:t>
      </w:r>
      <w:r w:rsidR="00F85E11">
        <w:rPr>
          <w:rFonts w:asciiTheme="majorHAnsi" w:hAnsiTheme="majorHAnsi" w:cstheme="minorHAnsi"/>
          <w:color w:val="000000" w:themeColor="text1"/>
        </w:rPr>
        <w:t xml:space="preserve"> The end result is that the development potential of services negotiations and services trade </w:t>
      </w:r>
      <w:r w:rsidR="00345DE9">
        <w:rPr>
          <w:rFonts w:asciiTheme="majorHAnsi" w:hAnsiTheme="majorHAnsi" w:cstheme="minorHAnsi"/>
          <w:color w:val="000000" w:themeColor="text1"/>
        </w:rPr>
        <w:t>in general is</w:t>
      </w:r>
      <w:r w:rsidR="00F85E11">
        <w:rPr>
          <w:rFonts w:asciiTheme="majorHAnsi" w:hAnsiTheme="majorHAnsi" w:cstheme="minorHAnsi"/>
          <w:color w:val="000000" w:themeColor="text1"/>
        </w:rPr>
        <w:t xml:space="preserve"> not </w:t>
      </w:r>
      <w:r w:rsidR="008B77E5">
        <w:rPr>
          <w:rFonts w:asciiTheme="majorHAnsi" w:hAnsiTheme="majorHAnsi" w:cstheme="minorHAnsi"/>
          <w:color w:val="000000" w:themeColor="text1"/>
        </w:rPr>
        <w:t>adequately</w:t>
      </w:r>
      <w:r w:rsidR="00F85E11">
        <w:rPr>
          <w:rFonts w:asciiTheme="majorHAnsi" w:hAnsiTheme="majorHAnsi" w:cstheme="minorHAnsi"/>
          <w:color w:val="000000" w:themeColor="text1"/>
        </w:rPr>
        <w:t xml:space="preserve"> harnessed (World Bank, 2009).</w:t>
      </w:r>
    </w:p>
    <w:p w14:paraId="2A080610" w14:textId="77777777" w:rsidR="00F85E11" w:rsidRDefault="00F85E11" w:rsidP="007A7A27">
      <w:pPr>
        <w:spacing w:after="0" w:line="360" w:lineRule="auto"/>
        <w:jc w:val="both"/>
        <w:rPr>
          <w:rFonts w:asciiTheme="majorHAnsi" w:hAnsiTheme="majorHAnsi" w:cstheme="minorHAnsi"/>
          <w:color w:val="000000" w:themeColor="text1"/>
        </w:rPr>
      </w:pPr>
    </w:p>
    <w:p w14:paraId="46E54549" w14:textId="4BE52576" w:rsidR="00445B92" w:rsidRDefault="00564E53" w:rsidP="007A7A27">
      <w:pPr>
        <w:spacing w:after="0" w:line="360" w:lineRule="auto"/>
        <w:jc w:val="both"/>
        <w:rPr>
          <w:rFonts w:asciiTheme="majorHAnsi" w:hAnsiTheme="majorHAnsi" w:cstheme="minorHAnsi"/>
          <w:color w:val="000000" w:themeColor="text1"/>
        </w:rPr>
      </w:pPr>
      <w:r>
        <w:rPr>
          <w:rFonts w:asciiTheme="majorHAnsi" w:hAnsiTheme="majorHAnsi" w:cstheme="minorHAnsi"/>
          <w:color w:val="000000" w:themeColor="text1"/>
        </w:rPr>
        <w:lastRenderedPageBreak/>
        <w:t xml:space="preserve">In South Africa, services constitute almost 70% of GDP but services’ share of exports is only about 20% (SARB, 2017; ICT, 2016). Given the rising prominence of services in a global context, South Africa has much to gain from driving a more forceful services export agenda. One of the best ways to expand exports in a particular sector is through preferential market access. </w:t>
      </w:r>
      <w:r w:rsidR="00D11706">
        <w:rPr>
          <w:rFonts w:asciiTheme="majorHAnsi" w:hAnsiTheme="majorHAnsi" w:cstheme="minorHAnsi"/>
          <w:color w:val="000000" w:themeColor="text1"/>
        </w:rPr>
        <w:t>Since most of the deep</w:t>
      </w:r>
      <w:r w:rsidR="00A56EAB">
        <w:rPr>
          <w:rFonts w:asciiTheme="majorHAnsi" w:hAnsiTheme="majorHAnsi" w:cstheme="minorHAnsi"/>
          <w:color w:val="000000" w:themeColor="text1"/>
        </w:rPr>
        <w:t xml:space="preserve"> integration in services trade has been effected through preferential trade agreements (rather than </w:t>
      </w:r>
      <w:r w:rsidR="00D11706">
        <w:rPr>
          <w:rFonts w:asciiTheme="majorHAnsi" w:hAnsiTheme="majorHAnsi" w:cstheme="minorHAnsi"/>
          <w:color w:val="000000" w:themeColor="text1"/>
        </w:rPr>
        <w:t xml:space="preserve">through </w:t>
      </w:r>
      <w:r w:rsidR="00A56EAB">
        <w:rPr>
          <w:rFonts w:asciiTheme="majorHAnsi" w:hAnsiTheme="majorHAnsi" w:cstheme="minorHAnsi"/>
          <w:color w:val="000000" w:themeColor="text1"/>
        </w:rPr>
        <w:t xml:space="preserve">the WTO’s multilateral structures), South Africa </w:t>
      </w:r>
      <w:r w:rsidR="00840EF1">
        <w:rPr>
          <w:rFonts w:asciiTheme="majorHAnsi" w:hAnsiTheme="majorHAnsi" w:cstheme="minorHAnsi"/>
          <w:color w:val="000000" w:themeColor="text1"/>
        </w:rPr>
        <w:t>is</w:t>
      </w:r>
      <w:r w:rsidR="00A56EAB">
        <w:rPr>
          <w:rFonts w:asciiTheme="majorHAnsi" w:hAnsiTheme="majorHAnsi" w:cstheme="minorHAnsi"/>
          <w:color w:val="000000" w:themeColor="text1"/>
        </w:rPr>
        <w:t xml:space="preserve"> </w:t>
      </w:r>
      <w:r w:rsidR="00D11706">
        <w:rPr>
          <w:rFonts w:asciiTheme="majorHAnsi" w:hAnsiTheme="majorHAnsi" w:cstheme="minorHAnsi"/>
          <w:color w:val="000000" w:themeColor="text1"/>
        </w:rPr>
        <w:t xml:space="preserve">well advised </w:t>
      </w:r>
      <w:r w:rsidR="00A56EAB">
        <w:rPr>
          <w:rFonts w:asciiTheme="majorHAnsi" w:hAnsiTheme="majorHAnsi" w:cstheme="minorHAnsi"/>
          <w:color w:val="000000" w:themeColor="text1"/>
        </w:rPr>
        <w:t xml:space="preserve">to </w:t>
      </w:r>
      <w:r w:rsidR="00840EF1">
        <w:rPr>
          <w:rFonts w:asciiTheme="majorHAnsi" w:hAnsiTheme="majorHAnsi" w:cstheme="minorHAnsi"/>
          <w:color w:val="000000" w:themeColor="text1"/>
        </w:rPr>
        <w:t xml:space="preserve">prioritise </w:t>
      </w:r>
      <w:r w:rsidR="00A56EAB">
        <w:rPr>
          <w:rFonts w:asciiTheme="majorHAnsi" w:hAnsiTheme="majorHAnsi" w:cstheme="minorHAnsi"/>
          <w:color w:val="000000" w:themeColor="text1"/>
        </w:rPr>
        <w:t xml:space="preserve">its services exports </w:t>
      </w:r>
      <w:r w:rsidR="00840EF1">
        <w:rPr>
          <w:rFonts w:asciiTheme="majorHAnsi" w:hAnsiTheme="majorHAnsi" w:cstheme="minorHAnsi"/>
          <w:color w:val="000000" w:themeColor="text1"/>
        </w:rPr>
        <w:t>under its</w:t>
      </w:r>
      <w:r w:rsidR="00A56EAB">
        <w:rPr>
          <w:rFonts w:asciiTheme="majorHAnsi" w:hAnsiTheme="majorHAnsi" w:cstheme="minorHAnsi"/>
          <w:color w:val="000000" w:themeColor="text1"/>
        </w:rPr>
        <w:t xml:space="preserve"> </w:t>
      </w:r>
      <w:r w:rsidR="000A1E3D">
        <w:rPr>
          <w:rFonts w:asciiTheme="majorHAnsi" w:hAnsiTheme="majorHAnsi" w:cstheme="minorHAnsi"/>
          <w:color w:val="000000" w:themeColor="text1"/>
        </w:rPr>
        <w:t>existing</w:t>
      </w:r>
      <w:r w:rsidR="00A56EAB">
        <w:rPr>
          <w:rFonts w:asciiTheme="majorHAnsi" w:hAnsiTheme="majorHAnsi" w:cstheme="minorHAnsi"/>
          <w:color w:val="000000" w:themeColor="text1"/>
        </w:rPr>
        <w:t xml:space="preserve"> preferential trading arrangements (Draper, 2014). However, </w:t>
      </w:r>
      <w:r w:rsidR="00E9440C">
        <w:rPr>
          <w:rFonts w:asciiTheme="majorHAnsi" w:hAnsiTheme="majorHAnsi" w:cstheme="minorHAnsi"/>
          <w:color w:val="000000" w:themeColor="text1"/>
        </w:rPr>
        <w:t xml:space="preserve">most </w:t>
      </w:r>
      <w:r w:rsidR="00353F62">
        <w:rPr>
          <w:rFonts w:asciiTheme="majorHAnsi" w:hAnsiTheme="majorHAnsi" w:cstheme="minorHAnsi"/>
          <w:color w:val="000000" w:themeColor="text1"/>
        </w:rPr>
        <w:t xml:space="preserve">of </w:t>
      </w:r>
      <w:r w:rsidR="000A1E3D">
        <w:rPr>
          <w:rFonts w:asciiTheme="majorHAnsi" w:hAnsiTheme="majorHAnsi" w:cstheme="minorHAnsi"/>
          <w:color w:val="000000" w:themeColor="text1"/>
        </w:rPr>
        <w:t>these</w:t>
      </w:r>
      <w:r w:rsidR="00840EF1">
        <w:rPr>
          <w:rFonts w:asciiTheme="majorHAnsi" w:hAnsiTheme="majorHAnsi" w:cstheme="minorHAnsi"/>
          <w:color w:val="000000" w:themeColor="text1"/>
        </w:rPr>
        <w:t xml:space="preserve"> </w:t>
      </w:r>
      <w:r w:rsidR="00391699">
        <w:rPr>
          <w:rFonts w:asciiTheme="majorHAnsi" w:hAnsiTheme="majorHAnsi" w:cstheme="minorHAnsi"/>
          <w:color w:val="000000" w:themeColor="text1"/>
        </w:rPr>
        <w:t xml:space="preserve">preferential </w:t>
      </w:r>
      <w:r w:rsidR="00840EF1">
        <w:rPr>
          <w:rFonts w:asciiTheme="majorHAnsi" w:hAnsiTheme="majorHAnsi" w:cstheme="minorHAnsi"/>
          <w:color w:val="000000" w:themeColor="text1"/>
        </w:rPr>
        <w:t>trad</w:t>
      </w:r>
      <w:r w:rsidR="000A1E3D">
        <w:rPr>
          <w:rFonts w:asciiTheme="majorHAnsi" w:hAnsiTheme="majorHAnsi" w:cstheme="minorHAnsi"/>
          <w:color w:val="000000" w:themeColor="text1"/>
        </w:rPr>
        <w:t>ing</w:t>
      </w:r>
      <w:r w:rsidR="00840EF1">
        <w:rPr>
          <w:rFonts w:asciiTheme="majorHAnsi" w:hAnsiTheme="majorHAnsi" w:cstheme="minorHAnsi"/>
          <w:color w:val="000000" w:themeColor="text1"/>
        </w:rPr>
        <w:t xml:space="preserve"> arrangements</w:t>
      </w:r>
      <w:r w:rsidR="00353F62" w:rsidDel="00353F62">
        <w:rPr>
          <w:rFonts w:asciiTheme="majorHAnsi" w:hAnsiTheme="majorHAnsi" w:cstheme="minorHAnsi"/>
          <w:color w:val="000000" w:themeColor="text1"/>
        </w:rPr>
        <w:t xml:space="preserve"> </w:t>
      </w:r>
      <w:r w:rsidR="00A56EAB">
        <w:rPr>
          <w:rFonts w:asciiTheme="majorHAnsi" w:hAnsiTheme="majorHAnsi" w:cstheme="minorHAnsi"/>
          <w:color w:val="000000" w:themeColor="text1"/>
        </w:rPr>
        <w:t xml:space="preserve">are limited in scope and cover </w:t>
      </w:r>
      <w:r w:rsidR="00840EF1">
        <w:rPr>
          <w:rFonts w:asciiTheme="majorHAnsi" w:hAnsiTheme="majorHAnsi" w:cstheme="minorHAnsi"/>
          <w:color w:val="000000" w:themeColor="text1"/>
        </w:rPr>
        <w:t>goods only</w:t>
      </w:r>
      <w:r w:rsidR="00A56EAB">
        <w:rPr>
          <w:rFonts w:asciiTheme="majorHAnsi" w:hAnsiTheme="majorHAnsi" w:cstheme="minorHAnsi"/>
          <w:color w:val="000000" w:themeColor="text1"/>
        </w:rPr>
        <w:t>. Other than GATS (General Agreement on Trade in Services), the only agreements relating to servi</w:t>
      </w:r>
      <w:r w:rsidR="00840EF1">
        <w:rPr>
          <w:rFonts w:asciiTheme="majorHAnsi" w:hAnsiTheme="majorHAnsi" w:cstheme="minorHAnsi"/>
          <w:color w:val="000000" w:themeColor="text1"/>
        </w:rPr>
        <w:t>ces (that focus on liberalisation issues)</w:t>
      </w:r>
      <w:r w:rsidR="007C7C8D">
        <w:rPr>
          <w:rFonts w:asciiTheme="majorHAnsi" w:hAnsiTheme="majorHAnsi" w:cstheme="minorHAnsi"/>
          <w:color w:val="000000" w:themeColor="text1"/>
        </w:rPr>
        <w:t xml:space="preserve"> in which South Africa has a foothold are the SADC (Southern African Development Community) Protocol on Trade in Services and two other African initiatives – the Tripartite Free Trade Agreement (TFTA) and the Continental Free Trade</w:t>
      </w:r>
      <w:r w:rsidR="00D25099">
        <w:rPr>
          <w:rFonts w:asciiTheme="majorHAnsi" w:hAnsiTheme="majorHAnsi" w:cstheme="minorHAnsi"/>
          <w:color w:val="000000" w:themeColor="text1"/>
        </w:rPr>
        <w:t xml:space="preserve"> Agreement (CFTA). These </w:t>
      </w:r>
      <w:r w:rsidR="00840EF1">
        <w:rPr>
          <w:rFonts w:asciiTheme="majorHAnsi" w:hAnsiTheme="majorHAnsi" w:cstheme="minorHAnsi"/>
          <w:color w:val="000000" w:themeColor="text1"/>
        </w:rPr>
        <w:t xml:space="preserve">three </w:t>
      </w:r>
      <w:r w:rsidR="00D25099">
        <w:rPr>
          <w:rFonts w:asciiTheme="majorHAnsi" w:hAnsiTheme="majorHAnsi" w:cstheme="minorHAnsi"/>
          <w:color w:val="000000" w:themeColor="text1"/>
        </w:rPr>
        <w:t>agreements are at different stages of negotiation and/or implementation.</w:t>
      </w:r>
      <w:r w:rsidR="007C7C8D">
        <w:rPr>
          <w:rFonts w:asciiTheme="majorHAnsi" w:hAnsiTheme="majorHAnsi" w:cstheme="minorHAnsi"/>
          <w:color w:val="000000" w:themeColor="text1"/>
        </w:rPr>
        <w:t xml:space="preserve"> </w:t>
      </w:r>
      <w:r w:rsidR="00445B92">
        <w:rPr>
          <w:rFonts w:asciiTheme="majorHAnsi" w:hAnsiTheme="majorHAnsi" w:cstheme="minorHAnsi"/>
          <w:color w:val="000000" w:themeColor="text1"/>
        </w:rPr>
        <w:t xml:space="preserve"> </w:t>
      </w:r>
    </w:p>
    <w:p w14:paraId="6822E07E" w14:textId="77777777" w:rsidR="00840EF1" w:rsidRDefault="00840EF1" w:rsidP="007A7A27">
      <w:pPr>
        <w:spacing w:after="0" w:line="360" w:lineRule="auto"/>
        <w:jc w:val="both"/>
        <w:rPr>
          <w:rFonts w:asciiTheme="majorHAnsi" w:hAnsiTheme="majorHAnsi" w:cstheme="minorHAnsi"/>
          <w:color w:val="000000" w:themeColor="text1"/>
        </w:rPr>
      </w:pPr>
    </w:p>
    <w:p w14:paraId="501D9176" w14:textId="6D55FC9C" w:rsidR="00840EF1" w:rsidRDefault="00840EF1" w:rsidP="007A7A27">
      <w:pPr>
        <w:spacing w:after="0" w:line="360" w:lineRule="auto"/>
        <w:jc w:val="both"/>
        <w:rPr>
          <w:rFonts w:asciiTheme="majorHAnsi" w:hAnsiTheme="majorHAnsi" w:cstheme="minorHAnsi"/>
          <w:color w:val="000000" w:themeColor="text1"/>
        </w:rPr>
      </w:pPr>
      <w:r>
        <w:rPr>
          <w:rFonts w:asciiTheme="majorHAnsi" w:hAnsiTheme="majorHAnsi" w:cstheme="minorHAnsi"/>
          <w:color w:val="000000" w:themeColor="text1"/>
        </w:rPr>
        <w:t xml:space="preserve">The first round of negotiations under the SADC Protocol on Trade in Services commenced in April 2012 and is still underway. </w:t>
      </w:r>
      <w:r w:rsidR="009558ED">
        <w:rPr>
          <w:rFonts w:asciiTheme="majorHAnsi" w:hAnsiTheme="majorHAnsi" w:cstheme="minorHAnsi"/>
          <w:color w:val="000000" w:themeColor="text1"/>
        </w:rPr>
        <w:t>The focus</w:t>
      </w:r>
      <w:r>
        <w:rPr>
          <w:rFonts w:asciiTheme="majorHAnsi" w:hAnsiTheme="majorHAnsi" w:cstheme="minorHAnsi"/>
          <w:color w:val="000000" w:themeColor="text1"/>
        </w:rPr>
        <w:t xml:space="preserve"> </w:t>
      </w:r>
      <w:r w:rsidR="009558ED">
        <w:rPr>
          <w:rFonts w:asciiTheme="majorHAnsi" w:hAnsiTheme="majorHAnsi" w:cstheme="minorHAnsi"/>
          <w:color w:val="000000" w:themeColor="text1"/>
        </w:rPr>
        <w:t xml:space="preserve">is </w:t>
      </w:r>
      <w:r>
        <w:rPr>
          <w:rFonts w:asciiTheme="majorHAnsi" w:hAnsiTheme="majorHAnsi" w:cstheme="minorHAnsi"/>
          <w:color w:val="000000" w:themeColor="text1"/>
        </w:rPr>
        <w:t>on the liberalisation of six priority sectors, namely communication, transport, tourism, financial services, construction, and energy and energy-related services. There are indications that progress has been made in the deliberations on the first four sectors</w:t>
      </w:r>
      <w:r w:rsidR="009558ED">
        <w:rPr>
          <w:rFonts w:asciiTheme="majorHAnsi" w:hAnsiTheme="majorHAnsi" w:cstheme="minorHAnsi"/>
          <w:color w:val="000000" w:themeColor="text1"/>
        </w:rPr>
        <w:t xml:space="preserve"> (Cronje, 2015)</w:t>
      </w:r>
      <w:r>
        <w:rPr>
          <w:rFonts w:asciiTheme="majorHAnsi" w:hAnsiTheme="majorHAnsi" w:cstheme="minorHAnsi"/>
          <w:color w:val="000000" w:themeColor="text1"/>
        </w:rPr>
        <w:t xml:space="preserve">, </w:t>
      </w:r>
      <w:r w:rsidR="009558ED">
        <w:rPr>
          <w:rFonts w:asciiTheme="majorHAnsi" w:hAnsiTheme="majorHAnsi" w:cstheme="minorHAnsi"/>
          <w:color w:val="000000" w:themeColor="text1"/>
        </w:rPr>
        <w:t>while</w:t>
      </w:r>
      <w:r>
        <w:rPr>
          <w:rFonts w:asciiTheme="majorHAnsi" w:hAnsiTheme="majorHAnsi" w:cstheme="minorHAnsi"/>
          <w:color w:val="000000" w:themeColor="text1"/>
        </w:rPr>
        <w:t xml:space="preserve"> negotiations on construction and energy and energy-related services </w:t>
      </w:r>
      <w:r w:rsidR="009558ED">
        <w:rPr>
          <w:rFonts w:asciiTheme="majorHAnsi" w:hAnsiTheme="majorHAnsi" w:cstheme="minorHAnsi"/>
          <w:color w:val="000000" w:themeColor="text1"/>
        </w:rPr>
        <w:t xml:space="preserve">are </w:t>
      </w:r>
      <w:r>
        <w:rPr>
          <w:rFonts w:asciiTheme="majorHAnsi" w:hAnsiTheme="majorHAnsi" w:cstheme="minorHAnsi"/>
          <w:color w:val="000000" w:themeColor="text1"/>
        </w:rPr>
        <w:t xml:space="preserve">due to commence during </w:t>
      </w:r>
      <w:r w:rsidRPr="00391699">
        <w:rPr>
          <w:rFonts w:asciiTheme="majorHAnsi" w:hAnsiTheme="majorHAnsi" w:cstheme="minorHAnsi"/>
          <w:color w:val="000000" w:themeColor="text1"/>
        </w:rPr>
        <w:t>2017 (</w:t>
      </w:r>
      <w:r w:rsidR="001050C4">
        <w:rPr>
          <w:rFonts w:asciiTheme="majorHAnsi" w:hAnsiTheme="majorHAnsi" w:cstheme="minorHAnsi"/>
          <w:color w:val="000000" w:themeColor="text1"/>
        </w:rPr>
        <w:t>Cronje, 2017</w:t>
      </w:r>
      <w:r w:rsidRPr="00391699">
        <w:rPr>
          <w:rFonts w:asciiTheme="majorHAnsi" w:hAnsiTheme="majorHAnsi" w:cstheme="minorHAnsi"/>
          <w:color w:val="000000" w:themeColor="text1"/>
        </w:rPr>
        <w:t>).</w:t>
      </w:r>
      <w:r w:rsidR="009558ED" w:rsidRPr="00391699">
        <w:rPr>
          <w:rFonts w:asciiTheme="majorHAnsi" w:hAnsiTheme="majorHAnsi" w:cstheme="minorHAnsi"/>
          <w:color w:val="000000" w:themeColor="text1"/>
        </w:rPr>
        <w:t xml:space="preserve"> The starting</w:t>
      </w:r>
      <w:r w:rsidR="009558ED">
        <w:rPr>
          <w:rFonts w:asciiTheme="majorHAnsi" w:hAnsiTheme="majorHAnsi" w:cstheme="minorHAnsi"/>
          <w:color w:val="000000" w:themeColor="text1"/>
        </w:rPr>
        <w:t xml:space="preserve"> point for this first round of negotiations is members’ existing GATS commitments </w:t>
      </w:r>
      <w:r w:rsidR="00764881">
        <w:rPr>
          <w:rFonts w:asciiTheme="majorHAnsi" w:hAnsiTheme="majorHAnsi" w:cstheme="minorHAnsi"/>
          <w:color w:val="000000" w:themeColor="text1"/>
        </w:rPr>
        <w:t>per sector</w:t>
      </w:r>
      <w:r w:rsidR="009558ED">
        <w:rPr>
          <w:rFonts w:asciiTheme="majorHAnsi" w:hAnsiTheme="majorHAnsi" w:cstheme="minorHAnsi"/>
          <w:color w:val="000000" w:themeColor="text1"/>
        </w:rPr>
        <w:t xml:space="preserve">, including the horizontal negotiations that straddle all sectors and are initiated </w:t>
      </w:r>
      <w:r w:rsidR="00391699">
        <w:rPr>
          <w:rFonts w:asciiTheme="majorHAnsi" w:hAnsiTheme="majorHAnsi" w:cstheme="minorHAnsi"/>
          <w:color w:val="000000" w:themeColor="text1"/>
        </w:rPr>
        <w:t>by special request</w:t>
      </w:r>
      <w:r w:rsidR="009558ED">
        <w:rPr>
          <w:rFonts w:asciiTheme="majorHAnsi" w:hAnsiTheme="majorHAnsi" w:cstheme="minorHAnsi"/>
          <w:color w:val="000000" w:themeColor="text1"/>
        </w:rPr>
        <w:t xml:space="preserve"> (Cronje, 2017). </w:t>
      </w:r>
      <w:r w:rsidR="00764881">
        <w:rPr>
          <w:rFonts w:asciiTheme="majorHAnsi" w:hAnsiTheme="majorHAnsi" w:cstheme="minorHAnsi"/>
          <w:color w:val="000000" w:themeColor="text1"/>
        </w:rPr>
        <w:t xml:space="preserve">At the conclusion of this round, each member </w:t>
      </w:r>
      <w:r w:rsidR="000A1E3D">
        <w:rPr>
          <w:rFonts w:asciiTheme="majorHAnsi" w:hAnsiTheme="majorHAnsi" w:cstheme="minorHAnsi"/>
          <w:color w:val="000000" w:themeColor="text1"/>
        </w:rPr>
        <w:t>is</w:t>
      </w:r>
      <w:r w:rsidR="00764881">
        <w:rPr>
          <w:rFonts w:asciiTheme="majorHAnsi" w:hAnsiTheme="majorHAnsi" w:cstheme="minorHAnsi"/>
          <w:color w:val="000000" w:themeColor="text1"/>
        </w:rPr>
        <w:t xml:space="preserve"> required to improve on its existing GATS commitments in respect of each of the six priority areas (Cronje, 2014). In future rounds, additional service sectors will be negotiated, along with any Most-Favoured-Nation (MFN) exemptions (Cronje, 2014). The CFTA negotiations began in February 2017 although the </w:t>
      </w:r>
      <w:r w:rsidR="00764881" w:rsidRPr="00F17DC7">
        <w:rPr>
          <w:rFonts w:asciiTheme="majorHAnsi" w:hAnsiTheme="majorHAnsi" w:cstheme="minorHAnsi"/>
          <w:color w:val="000000" w:themeColor="text1"/>
        </w:rPr>
        <w:t xml:space="preserve">negotiating modalities are still being considered. The TFTA </w:t>
      </w:r>
      <w:r w:rsidR="001050C4" w:rsidRPr="00F17DC7">
        <w:rPr>
          <w:rFonts w:asciiTheme="majorHAnsi" w:hAnsiTheme="majorHAnsi" w:cstheme="minorHAnsi"/>
          <w:color w:val="000000" w:themeColor="text1"/>
        </w:rPr>
        <w:t xml:space="preserve">services </w:t>
      </w:r>
      <w:r w:rsidR="00764881" w:rsidRPr="00F17DC7">
        <w:rPr>
          <w:rFonts w:asciiTheme="majorHAnsi" w:hAnsiTheme="majorHAnsi" w:cstheme="minorHAnsi"/>
          <w:color w:val="000000" w:themeColor="text1"/>
        </w:rPr>
        <w:t>negotiations</w:t>
      </w:r>
      <w:r w:rsidR="001050C4" w:rsidRPr="00F17DC7">
        <w:rPr>
          <w:rFonts w:asciiTheme="majorHAnsi" w:hAnsiTheme="majorHAnsi" w:cstheme="minorHAnsi"/>
          <w:color w:val="000000" w:themeColor="text1"/>
        </w:rPr>
        <w:t xml:space="preserve">, which will be negotiated </w:t>
      </w:r>
      <w:r w:rsidR="00353F62" w:rsidRPr="00F17DC7">
        <w:rPr>
          <w:rFonts w:asciiTheme="majorHAnsi" w:hAnsiTheme="majorHAnsi" w:cstheme="minorHAnsi"/>
          <w:color w:val="000000" w:themeColor="text1"/>
        </w:rPr>
        <w:t>in</w:t>
      </w:r>
      <w:r w:rsidR="001050C4" w:rsidRPr="00F17DC7">
        <w:rPr>
          <w:rFonts w:asciiTheme="majorHAnsi" w:hAnsiTheme="majorHAnsi" w:cstheme="minorHAnsi"/>
          <w:color w:val="000000" w:themeColor="text1"/>
        </w:rPr>
        <w:t xml:space="preserve"> </w:t>
      </w:r>
      <w:r w:rsidR="00353F62" w:rsidRPr="00F17DC7">
        <w:rPr>
          <w:rFonts w:asciiTheme="majorHAnsi" w:hAnsiTheme="majorHAnsi" w:cstheme="minorHAnsi"/>
          <w:color w:val="000000" w:themeColor="text1"/>
        </w:rPr>
        <w:t>phase II</w:t>
      </w:r>
      <w:r w:rsidR="001050C4" w:rsidRPr="00F17DC7">
        <w:rPr>
          <w:rFonts w:asciiTheme="majorHAnsi" w:hAnsiTheme="majorHAnsi" w:cstheme="minorHAnsi"/>
          <w:color w:val="000000" w:themeColor="text1"/>
        </w:rPr>
        <w:t xml:space="preserve"> after goods</w:t>
      </w:r>
      <w:r w:rsidR="001050C4">
        <w:rPr>
          <w:rFonts w:asciiTheme="majorHAnsi" w:hAnsiTheme="majorHAnsi" w:cstheme="minorHAnsi"/>
          <w:color w:val="000000" w:themeColor="text1"/>
        </w:rPr>
        <w:t>,</w:t>
      </w:r>
      <w:r w:rsidR="00764881">
        <w:rPr>
          <w:rFonts w:asciiTheme="majorHAnsi" w:hAnsiTheme="majorHAnsi" w:cstheme="minorHAnsi"/>
          <w:color w:val="000000" w:themeColor="text1"/>
        </w:rPr>
        <w:t xml:space="preserve"> have not yet commenced. </w:t>
      </w:r>
    </w:p>
    <w:p w14:paraId="296D30E3" w14:textId="77777777" w:rsidR="004332CD" w:rsidRDefault="004332CD" w:rsidP="007A7A27">
      <w:pPr>
        <w:spacing w:after="0" w:line="360" w:lineRule="auto"/>
        <w:jc w:val="both"/>
        <w:rPr>
          <w:rFonts w:asciiTheme="majorHAnsi" w:hAnsiTheme="majorHAnsi" w:cstheme="minorHAnsi"/>
          <w:color w:val="000000" w:themeColor="text1"/>
        </w:rPr>
      </w:pPr>
    </w:p>
    <w:p w14:paraId="5CF9326E" w14:textId="05A0D8DC" w:rsidR="004332CD" w:rsidRDefault="004332CD" w:rsidP="007A7A27">
      <w:pPr>
        <w:spacing w:after="0" w:line="360" w:lineRule="auto"/>
        <w:jc w:val="both"/>
        <w:rPr>
          <w:rFonts w:asciiTheme="majorHAnsi" w:hAnsiTheme="majorHAnsi" w:cstheme="minorHAnsi"/>
          <w:color w:val="000000" w:themeColor="text1"/>
        </w:rPr>
      </w:pPr>
      <w:r>
        <w:rPr>
          <w:rFonts w:asciiTheme="majorHAnsi" w:hAnsiTheme="majorHAnsi" w:cstheme="minorHAnsi"/>
          <w:color w:val="000000" w:themeColor="text1"/>
        </w:rPr>
        <w:t xml:space="preserve">The fact that these African trade agreements are still at an early </w:t>
      </w:r>
      <w:r w:rsidR="00184A63">
        <w:rPr>
          <w:rFonts w:asciiTheme="majorHAnsi" w:hAnsiTheme="majorHAnsi" w:cstheme="minorHAnsi"/>
          <w:color w:val="000000" w:themeColor="text1"/>
        </w:rPr>
        <w:t>stage of development</w:t>
      </w:r>
      <w:r>
        <w:rPr>
          <w:rFonts w:asciiTheme="majorHAnsi" w:hAnsiTheme="majorHAnsi" w:cstheme="minorHAnsi"/>
          <w:color w:val="000000" w:themeColor="text1"/>
        </w:rPr>
        <w:t xml:space="preserve"> is all the more reason why South Africa should take the opportunity to clarify </w:t>
      </w:r>
      <w:r w:rsidR="00184A63">
        <w:rPr>
          <w:rFonts w:asciiTheme="majorHAnsi" w:hAnsiTheme="majorHAnsi" w:cstheme="minorHAnsi"/>
          <w:color w:val="000000" w:themeColor="text1"/>
        </w:rPr>
        <w:t xml:space="preserve">its position on the services trade front vis-à-vis its regional trading partners, </w:t>
      </w:r>
      <w:r w:rsidR="00391699">
        <w:rPr>
          <w:rFonts w:asciiTheme="majorHAnsi" w:hAnsiTheme="majorHAnsi" w:cstheme="minorHAnsi"/>
          <w:color w:val="000000" w:themeColor="text1"/>
        </w:rPr>
        <w:t>back up by</w:t>
      </w:r>
      <w:r w:rsidR="00184A63">
        <w:rPr>
          <w:rFonts w:asciiTheme="majorHAnsi" w:hAnsiTheme="majorHAnsi" w:cstheme="minorHAnsi"/>
          <w:color w:val="000000" w:themeColor="text1"/>
        </w:rPr>
        <w:t xml:space="preserve"> a well-formulated services trade strategy </w:t>
      </w:r>
      <w:r w:rsidR="00391699">
        <w:rPr>
          <w:rFonts w:asciiTheme="majorHAnsi" w:hAnsiTheme="majorHAnsi" w:cstheme="minorHAnsi"/>
          <w:color w:val="000000" w:themeColor="text1"/>
        </w:rPr>
        <w:t>that will guide the country’s</w:t>
      </w:r>
      <w:r w:rsidR="00D731D1">
        <w:rPr>
          <w:rFonts w:asciiTheme="majorHAnsi" w:hAnsiTheme="majorHAnsi" w:cstheme="minorHAnsi"/>
          <w:color w:val="000000" w:themeColor="text1"/>
        </w:rPr>
        <w:t xml:space="preserve"> ongoing</w:t>
      </w:r>
      <w:r w:rsidR="00391699">
        <w:rPr>
          <w:rFonts w:asciiTheme="majorHAnsi" w:hAnsiTheme="majorHAnsi" w:cstheme="minorHAnsi"/>
          <w:color w:val="000000" w:themeColor="text1"/>
        </w:rPr>
        <w:t xml:space="preserve"> </w:t>
      </w:r>
      <w:r w:rsidR="00746C13">
        <w:rPr>
          <w:rFonts w:asciiTheme="majorHAnsi" w:hAnsiTheme="majorHAnsi" w:cstheme="minorHAnsi"/>
          <w:color w:val="000000" w:themeColor="text1"/>
        </w:rPr>
        <w:t xml:space="preserve">trade </w:t>
      </w:r>
      <w:r w:rsidR="00184A63">
        <w:rPr>
          <w:rFonts w:asciiTheme="majorHAnsi" w:hAnsiTheme="majorHAnsi" w:cstheme="minorHAnsi"/>
          <w:color w:val="000000" w:themeColor="text1"/>
        </w:rPr>
        <w:t>negotiations</w:t>
      </w:r>
      <w:r w:rsidR="00C6272F">
        <w:rPr>
          <w:rFonts w:asciiTheme="majorHAnsi" w:hAnsiTheme="majorHAnsi" w:cstheme="minorHAnsi"/>
          <w:color w:val="000000" w:themeColor="text1"/>
        </w:rPr>
        <w:t xml:space="preserve"> </w:t>
      </w:r>
      <w:r w:rsidR="00FF696C">
        <w:rPr>
          <w:rFonts w:asciiTheme="majorHAnsi" w:hAnsiTheme="majorHAnsi" w:cstheme="minorHAnsi"/>
          <w:color w:val="000000" w:themeColor="text1"/>
        </w:rPr>
        <w:t>in</w:t>
      </w:r>
      <w:r w:rsidR="00C6272F">
        <w:rPr>
          <w:rFonts w:asciiTheme="majorHAnsi" w:hAnsiTheme="majorHAnsi" w:cstheme="minorHAnsi"/>
          <w:color w:val="000000" w:themeColor="text1"/>
        </w:rPr>
        <w:t xml:space="preserve"> Africa</w:t>
      </w:r>
      <w:r w:rsidR="00184A63">
        <w:rPr>
          <w:rFonts w:asciiTheme="majorHAnsi" w:hAnsiTheme="majorHAnsi" w:cstheme="minorHAnsi"/>
          <w:color w:val="000000" w:themeColor="text1"/>
        </w:rPr>
        <w:t>.</w:t>
      </w:r>
      <w:r w:rsidR="00C6272F">
        <w:rPr>
          <w:rFonts w:asciiTheme="majorHAnsi" w:hAnsiTheme="majorHAnsi" w:cstheme="minorHAnsi"/>
          <w:color w:val="000000" w:themeColor="text1"/>
        </w:rPr>
        <w:t xml:space="preserve"> The </w:t>
      </w:r>
      <w:r w:rsidR="00D731D1">
        <w:rPr>
          <w:rFonts w:asciiTheme="majorHAnsi" w:hAnsiTheme="majorHAnsi" w:cstheme="minorHAnsi"/>
          <w:color w:val="000000" w:themeColor="text1"/>
        </w:rPr>
        <w:t xml:space="preserve">uncertainty that has been created by the </w:t>
      </w:r>
      <w:r w:rsidR="00C6272F">
        <w:rPr>
          <w:rFonts w:asciiTheme="majorHAnsi" w:hAnsiTheme="majorHAnsi" w:cstheme="minorHAnsi"/>
          <w:color w:val="000000" w:themeColor="text1"/>
        </w:rPr>
        <w:t xml:space="preserve">rapidly changing character of US trade policy in the wake of the Trump presidency, </w:t>
      </w:r>
      <w:r w:rsidR="00D731D1">
        <w:rPr>
          <w:rFonts w:asciiTheme="majorHAnsi" w:hAnsiTheme="majorHAnsi" w:cstheme="minorHAnsi"/>
          <w:color w:val="000000" w:themeColor="text1"/>
        </w:rPr>
        <w:t>as well as developments in Brexit</w:t>
      </w:r>
      <w:r w:rsidR="00C6272F">
        <w:rPr>
          <w:rFonts w:asciiTheme="majorHAnsi" w:hAnsiTheme="majorHAnsi" w:cstheme="minorHAnsi"/>
          <w:color w:val="000000" w:themeColor="text1"/>
        </w:rPr>
        <w:t xml:space="preserve"> and the increasingly brittle relationships between </w:t>
      </w:r>
      <w:r w:rsidR="00C6272F">
        <w:rPr>
          <w:rFonts w:asciiTheme="majorHAnsi" w:hAnsiTheme="majorHAnsi" w:cstheme="minorHAnsi"/>
          <w:color w:val="000000" w:themeColor="text1"/>
        </w:rPr>
        <w:lastRenderedPageBreak/>
        <w:t>various leading trading nations should</w:t>
      </w:r>
      <w:r w:rsidR="00D731D1">
        <w:rPr>
          <w:rFonts w:asciiTheme="majorHAnsi" w:hAnsiTheme="majorHAnsi" w:cstheme="minorHAnsi"/>
          <w:color w:val="000000" w:themeColor="text1"/>
        </w:rPr>
        <w:t>, in turn,</w:t>
      </w:r>
      <w:r w:rsidR="00C6272F">
        <w:rPr>
          <w:rFonts w:asciiTheme="majorHAnsi" w:hAnsiTheme="majorHAnsi" w:cstheme="minorHAnsi"/>
          <w:color w:val="000000" w:themeColor="text1"/>
        </w:rPr>
        <w:t xml:space="preserve"> </w:t>
      </w:r>
      <w:r w:rsidR="009838D8">
        <w:rPr>
          <w:rFonts w:asciiTheme="majorHAnsi" w:hAnsiTheme="majorHAnsi" w:cstheme="minorHAnsi"/>
          <w:color w:val="000000" w:themeColor="text1"/>
        </w:rPr>
        <w:t>provide the</w:t>
      </w:r>
      <w:r w:rsidR="00D731D1">
        <w:rPr>
          <w:rFonts w:asciiTheme="majorHAnsi" w:hAnsiTheme="majorHAnsi" w:cstheme="minorHAnsi"/>
          <w:color w:val="000000" w:themeColor="text1"/>
        </w:rPr>
        <w:t xml:space="preserve"> </w:t>
      </w:r>
      <w:r w:rsidR="00C6272F">
        <w:rPr>
          <w:rFonts w:asciiTheme="majorHAnsi" w:hAnsiTheme="majorHAnsi" w:cstheme="minorHAnsi"/>
          <w:color w:val="000000" w:themeColor="text1"/>
        </w:rPr>
        <w:t xml:space="preserve">impetus </w:t>
      </w:r>
      <w:r w:rsidR="00D731D1">
        <w:rPr>
          <w:rFonts w:asciiTheme="majorHAnsi" w:hAnsiTheme="majorHAnsi" w:cstheme="minorHAnsi"/>
          <w:color w:val="000000" w:themeColor="text1"/>
        </w:rPr>
        <w:t>for</w:t>
      </w:r>
      <w:r w:rsidR="00C6272F">
        <w:rPr>
          <w:rFonts w:asciiTheme="majorHAnsi" w:hAnsiTheme="majorHAnsi" w:cstheme="minorHAnsi"/>
          <w:color w:val="000000" w:themeColor="text1"/>
        </w:rPr>
        <w:t xml:space="preserve"> South Africa to strengthen its international service partnerships </w:t>
      </w:r>
      <w:r w:rsidR="0025535C">
        <w:rPr>
          <w:rFonts w:asciiTheme="majorHAnsi" w:hAnsiTheme="majorHAnsi" w:cstheme="minorHAnsi"/>
          <w:color w:val="000000" w:themeColor="text1"/>
        </w:rPr>
        <w:t>via effective</w:t>
      </w:r>
      <w:r w:rsidR="00A049C3">
        <w:rPr>
          <w:rFonts w:asciiTheme="majorHAnsi" w:hAnsiTheme="majorHAnsi" w:cstheme="minorHAnsi"/>
          <w:color w:val="000000" w:themeColor="text1"/>
        </w:rPr>
        <w:t xml:space="preserve"> </w:t>
      </w:r>
      <w:r w:rsidR="00CF6D06">
        <w:rPr>
          <w:rFonts w:asciiTheme="majorHAnsi" w:hAnsiTheme="majorHAnsi" w:cstheme="minorHAnsi"/>
          <w:color w:val="000000" w:themeColor="text1"/>
        </w:rPr>
        <w:t xml:space="preserve">bilateral </w:t>
      </w:r>
      <w:r w:rsidR="00A049C3">
        <w:rPr>
          <w:rFonts w:asciiTheme="majorHAnsi" w:hAnsiTheme="majorHAnsi" w:cstheme="minorHAnsi"/>
          <w:color w:val="000000" w:themeColor="text1"/>
        </w:rPr>
        <w:t xml:space="preserve">trade </w:t>
      </w:r>
      <w:r w:rsidR="00CF6D06">
        <w:rPr>
          <w:rFonts w:asciiTheme="majorHAnsi" w:hAnsiTheme="majorHAnsi" w:cstheme="minorHAnsi"/>
          <w:color w:val="000000" w:themeColor="text1"/>
        </w:rPr>
        <w:t>negotiations.</w:t>
      </w:r>
      <w:r w:rsidR="00C6272F">
        <w:rPr>
          <w:rFonts w:asciiTheme="majorHAnsi" w:hAnsiTheme="majorHAnsi" w:cstheme="minorHAnsi"/>
          <w:color w:val="000000" w:themeColor="text1"/>
        </w:rPr>
        <w:t xml:space="preserve">       </w:t>
      </w:r>
    </w:p>
    <w:p w14:paraId="4336621B" w14:textId="77777777" w:rsidR="00B1599A" w:rsidRDefault="00B1599A" w:rsidP="007A7A27">
      <w:pPr>
        <w:spacing w:after="0" w:line="360" w:lineRule="auto"/>
        <w:jc w:val="both"/>
        <w:rPr>
          <w:rFonts w:asciiTheme="majorHAnsi" w:hAnsiTheme="majorHAnsi" w:cstheme="minorHAnsi"/>
          <w:color w:val="000000" w:themeColor="text1"/>
        </w:rPr>
      </w:pPr>
    </w:p>
    <w:p w14:paraId="5A666A10" w14:textId="1BD77A8F" w:rsidR="00B108A2" w:rsidRDefault="00B108A2" w:rsidP="00B108A2">
      <w:pPr>
        <w:spacing w:after="0" w:line="360" w:lineRule="auto"/>
        <w:jc w:val="both"/>
        <w:rPr>
          <w:rFonts w:asciiTheme="majorHAnsi" w:hAnsiTheme="majorHAnsi" w:cstheme="minorHAnsi"/>
          <w:color w:val="000000" w:themeColor="text1"/>
        </w:rPr>
      </w:pPr>
      <w:r>
        <w:rPr>
          <w:rFonts w:asciiTheme="majorHAnsi" w:hAnsiTheme="majorHAnsi" w:cstheme="minorHAnsi"/>
          <w:color w:val="000000" w:themeColor="text1"/>
        </w:rPr>
        <w:t xml:space="preserve">The recent launch of the WTO’s Trade Facilitation Agreement (TFA) will usher in new opportunities for service providers around the world in the transport, logistics, customs and other </w:t>
      </w:r>
      <w:r w:rsidR="00D731D1">
        <w:rPr>
          <w:rFonts w:asciiTheme="majorHAnsi" w:hAnsiTheme="majorHAnsi" w:cstheme="minorHAnsi"/>
          <w:color w:val="000000" w:themeColor="text1"/>
        </w:rPr>
        <w:t xml:space="preserve">service </w:t>
      </w:r>
      <w:r>
        <w:rPr>
          <w:rFonts w:asciiTheme="majorHAnsi" w:hAnsiTheme="majorHAnsi" w:cstheme="minorHAnsi"/>
          <w:color w:val="000000" w:themeColor="text1"/>
        </w:rPr>
        <w:t xml:space="preserve">sectors. The TFA is aimed at streamlining the movement, release and clearance of goods, and specifically calls for more effective cooperation between customs authorities (WTO, 2017). Not only will more efficient trade under the TFA eliminate some of the constraints faced by firms in the freight and logistics sectors, it will also create opportunities for firms in the financial services and ICT sectors to extend their market reach with more value-added services. Although South Africa has </w:t>
      </w:r>
      <w:r w:rsidR="006661C2" w:rsidRPr="00AF24A0">
        <w:rPr>
          <w:rFonts w:asciiTheme="majorHAnsi" w:hAnsiTheme="majorHAnsi" w:cstheme="minorHAnsi"/>
          <w:color w:val="000000" w:themeColor="text1"/>
        </w:rPr>
        <w:t xml:space="preserve">not </w:t>
      </w:r>
      <w:r w:rsidR="00353F62" w:rsidRPr="00AF24A0">
        <w:rPr>
          <w:rFonts w:asciiTheme="majorHAnsi" w:hAnsiTheme="majorHAnsi" w:cstheme="minorHAnsi"/>
          <w:color w:val="000000" w:themeColor="text1"/>
        </w:rPr>
        <w:t>yet</w:t>
      </w:r>
      <w:r w:rsidR="00353F62">
        <w:rPr>
          <w:rFonts w:asciiTheme="majorHAnsi" w:hAnsiTheme="majorHAnsi" w:cstheme="minorHAnsi"/>
          <w:color w:val="000000" w:themeColor="text1"/>
        </w:rPr>
        <w:t xml:space="preserve"> </w:t>
      </w:r>
      <w:r w:rsidR="006661C2">
        <w:rPr>
          <w:rFonts w:asciiTheme="majorHAnsi" w:hAnsiTheme="majorHAnsi" w:cstheme="minorHAnsi"/>
          <w:color w:val="000000" w:themeColor="text1"/>
        </w:rPr>
        <w:t>ratified</w:t>
      </w:r>
      <w:r>
        <w:rPr>
          <w:rFonts w:asciiTheme="majorHAnsi" w:hAnsiTheme="majorHAnsi" w:cstheme="minorHAnsi"/>
          <w:color w:val="000000" w:themeColor="text1"/>
        </w:rPr>
        <w:t xml:space="preserve"> the TFA</w:t>
      </w:r>
      <w:r w:rsidR="006661C2">
        <w:rPr>
          <w:rStyle w:val="FootnoteReference"/>
          <w:rFonts w:asciiTheme="majorHAnsi" w:hAnsiTheme="majorHAnsi" w:cstheme="minorHAnsi"/>
          <w:color w:val="000000" w:themeColor="text1"/>
        </w:rPr>
        <w:footnoteReference w:id="5"/>
      </w:r>
      <w:r>
        <w:rPr>
          <w:rFonts w:asciiTheme="majorHAnsi" w:hAnsiTheme="majorHAnsi" w:cstheme="minorHAnsi"/>
          <w:color w:val="000000" w:themeColor="text1"/>
        </w:rPr>
        <w:t xml:space="preserve">, the country’s policymakers and traders need to factor the changing trade facilitation landscape into their </w:t>
      </w:r>
      <w:r w:rsidR="00D731D1">
        <w:rPr>
          <w:rFonts w:asciiTheme="majorHAnsi" w:hAnsiTheme="majorHAnsi" w:cstheme="minorHAnsi"/>
          <w:color w:val="000000" w:themeColor="text1"/>
        </w:rPr>
        <w:t xml:space="preserve">services </w:t>
      </w:r>
      <w:r>
        <w:rPr>
          <w:rFonts w:asciiTheme="majorHAnsi" w:hAnsiTheme="majorHAnsi" w:cstheme="minorHAnsi"/>
          <w:color w:val="000000" w:themeColor="text1"/>
        </w:rPr>
        <w:t xml:space="preserve">strategies and plans, </w:t>
      </w:r>
      <w:r w:rsidRPr="006661C2">
        <w:rPr>
          <w:rFonts w:asciiTheme="majorHAnsi" w:hAnsiTheme="majorHAnsi" w:cstheme="minorHAnsi"/>
          <w:color w:val="000000" w:themeColor="text1"/>
        </w:rPr>
        <w:t>particularly when dealing with countries that are TFA compliant.</w:t>
      </w:r>
    </w:p>
    <w:p w14:paraId="25FFC2B4" w14:textId="77777777" w:rsidR="00B108A2" w:rsidRDefault="00B108A2" w:rsidP="00B108A2">
      <w:pPr>
        <w:spacing w:after="0" w:line="360" w:lineRule="auto"/>
        <w:jc w:val="both"/>
        <w:rPr>
          <w:rFonts w:asciiTheme="majorHAnsi" w:hAnsiTheme="majorHAnsi" w:cstheme="minorHAnsi"/>
          <w:color w:val="000000" w:themeColor="text1"/>
        </w:rPr>
      </w:pPr>
    </w:p>
    <w:p w14:paraId="1834311C" w14:textId="5F79825A" w:rsidR="006802FA" w:rsidRDefault="006802FA" w:rsidP="006802FA">
      <w:pPr>
        <w:spacing w:after="0" w:line="360" w:lineRule="auto"/>
        <w:jc w:val="both"/>
        <w:rPr>
          <w:rFonts w:asciiTheme="majorHAnsi" w:hAnsiTheme="majorHAnsi" w:cstheme="minorHAnsi"/>
          <w:color w:val="000000" w:themeColor="text1"/>
        </w:rPr>
      </w:pPr>
      <w:r>
        <w:rPr>
          <w:rFonts w:asciiTheme="majorHAnsi" w:hAnsiTheme="majorHAnsi" w:cstheme="minorHAnsi"/>
          <w:color w:val="000000" w:themeColor="text1"/>
        </w:rPr>
        <w:t>To deliver optimal results, trade negotiations must be properly informed, on the one hand, by realistic, sector-s</w:t>
      </w:r>
      <w:r w:rsidR="0025535C">
        <w:rPr>
          <w:rFonts w:asciiTheme="majorHAnsi" w:hAnsiTheme="majorHAnsi" w:cstheme="minorHAnsi"/>
          <w:color w:val="000000" w:themeColor="text1"/>
        </w:rPr>
        <w:t>pecific export opportunities in high-potential</w:t>
      </w:r>
      <w:r>
        <w:rPr>
          <w:rFonts w:asciiTheme="majorHAnsi" w:hAnsiTheme="majorHAnsi" w:cstheme="minorHAnsi"/>
          <w:color w:val="000000" w:themeColor="text1"/>
        </w:rPr>
        <w:t xml:space="preserve"> foreign markets and, on the other hand, by the country’s economic development objectives and domestic service capacity which together influence import requirements. South Africa’s services import requirements are a reflection of the state of the domestic economy and prevailing demand conditions. South Africa’s services export opportunities are more difficult to determine because they are spread out around the world and are subject to many different variables, from market size and associated import demand per sector to the degree of market openness and level of market access as measured by the relative restrictiveness of the policy and regulatory environment. </w:t>
      </w:r>
    </w:p>
    <w:p w14:paraId="1ACC3E66" w14:textId="77777777" w:rsidR="00600C61" w:rsidRDefault="00600C61" w:rsidP="007A7A27">
      <w:pPr>
        <w:spacing w:after="0" w:line="360" w:lineRule="auto"/>
        <w:jc w:val="both"/>
        <w:rPr>
          <w:rFonts w:asciiTheme="majorHAnsi" w:hAnsiTheme="majorHAnsi" w:cstheme="minorHAnsi"/>
          <w:color w:val="000000" w:themeColor="text1"/>
        </w:rPr>
      </w:pPr>
    </w:p>
    <w:p w14:paraId="525AC8CA" w14:textId="1C8EA061" w:rsidR="00044B66" w:rsidRDefault="004A2C80" w:rsidP="004A2C80">
      <w:pPr>
        <w:spacing w:after="0" w:line="360" w:lineRule="auto"/>
        <w:jc w:val="both"/>
        <w:rPr>
          <w:rFonts w:asciiTheme="majorHAnsi" w:hAnsiTheme="majorHAnsi" w:cstheme="minorHAnsi"/>
          <w:color w:val="000000" w:themeColor="text1"/>
        </w:rPr>
      </w:pPr>
      <w:r>
        <w:rPr>
          <w:rFonts w:asciiTheme="majorHAnsi" w:hAnsiTheme="majorHAnsi" w:cstheme="minorHAnsi"/>
          <w:color w:val="000000" w:themeColor="text1"/>
        </w:rPr>
        <w:t xml:space="preserve">This paper aims to address some of South Africa’s shortcomings in its services trade by presenting a </w:t>
      </w:r>
      <w:r w:rsidRPr="00AF24A0">
        <w:rPr>
          <w:rFonts w:asciiTheme="majorHAnsi" w:hAnsiTheme="majorHAnsi" w:cstheme="minorHAnsi"/>
          <w:color w:val="000000" w:themeColor="text1"/>
        </w:rPr>
        <w:t xml:space="preserve">broad </w:t>
      </w:r>
      <w:r>
        <w:rPr>
          <w:rFonts w:asciiTheme="majorHAnsi" w:hAnsiTheme="majorHAnsi" w:cstheme="minorHAnsi"/>
          <w:color w:val="000000" w:themeColor="text1"/>
        </w:rPr>
        <w:t xml:space="preserve">strategy </w:t>
      </w:r>
      <w:r w:rsidR="00F17DC7">
        <w:rPr>
          <w:rFonts w:asciiTheme="majorHAnsi" w:hAnsiTheme="majorHAnsi" w:cstheme="minorHAnsi"/>
          <w:color w:val="000000" w:themeColor="text1"/>
        </w:rPr>
        <w:t xml:space="preserve">that </w:t>
      </w:r>
      <w:r w:rsidR="00E73001">
        <w:rPr>
          <w:rFonts w:asciiTheme="majorHAnsi" w:hAnsiTheme="majorHAnsi" w:cstheme="minorHAnsi"/>
          <w:color w:val="000000" w:themeColor="text1"/>
        </w:rPr>
        <w:t>provides</w:t>
      </w:r>
      <w:r>
        <w:rPr>
          <w:rFonts w:asciiTheme="majorHAnsi" w:hAnsiTheme="majorHAnsi" w:cstheme="minorHAnsi"/>
          <w:color w:val="000000" w:themeColor="text1"/>
        </w:rPr>
        <w:t xml:space="preserve"> an overarching framework for South Africa’s</w:t>
      </w:r>
      <w:r w:rsidR="00353F62">
        <w:rPr>
          <w:rFonts w:asciiTheme="majorHAnsi" w:hAnsiTheme="majorHAnsi" w:cstheme="minorHAnsi"/>
          <w:color w:val="000000" w:themeColor="text1"/>
        </w:rPr>
        <w:t xml:space="preserve"> trade</w:t>
      </w:r>
      <w:r>
        <w:rPr>
          <w:rFonts w:asciiTheme="majorHAnsi" w:hAnsiTheme="majorHAnsi" w:cstheme="minorHAnsi"/>
          <w:color w:val="000000" w:themeColor="text1"/>
        </w:rPr>
        <w:t xml:space="preserve"> activities in the services arena. The paper </w:t>
      </w:r>
      <w:r w:rsidR="0025535C">
        <w:rPr>
          <w:rFonts w:asciiTheme="majorHAnsi" w:hAnsiTheme="majorHAnsi" w:cstheme="minorHAnsi"/>
          <w:color w:val="000000" w:themeColor="text1"/>
        </w:rPr>
        <w:t xml:space="preserve">places particular emphasis on </w:t>
      </w:r>
      <w:r>
        <w:rPr>
          <w:rFonts w:asciiTheme="majorHAnsi" w:hAnsiTheme="majorHAnsi" w:cstheme="minorHAnsi"/>
          <w:color w:val="000000" w:themeColor="text1"/>
        </w:rPr>
        <w:t xml:space="preserve">the importance of trade negotiations as a vehicle for harnessing the development potential of trade in services from a South African perspective. In addition, the paper </w:t>
      </w:r>
      <w:r w:rsidR="0025535C">
        <w:rPr>
          <w:rFonts w:asciiTheme="majorHAnsi" w:hAnsiTheme="majorHAnsi" w:cstheme="minorHAnsi"/>
          <w:color w:val="000000" w:themeColor="text1"/>
        </w:rPr>
        <w:t>gives</w:t>
      </w:r>
      <w:r>
        <w:rPr>
          <w:rFonts w:asciiTheme="majorHAnsi" w:hAnsiTheme="majorHAnsi" w:cstheme="minorHAnsi"/>
          <w:color w:val="000000" w:themeColor="text1"/>
        </w:rPr>
        <w:t xml:space="preserve"> attention to some of the most serious barriers </w:t>
      </w:r>
      <w:r w:rsidR="0025535C">
        <w:rPr>
          <w:rFonts w:asciiTheme="majorHAnsi" w:hAnsiTheme="majorHAnsi" w:cstheme="minorHAnsi"/>
          <w:color w:val="000000" w:themeColor="text1"/>
        </w:rPr>
        <w:t>impeding</w:t>
      </w:r>
      <w:r>
        <w:rPr>
          <w:rFonts w:asciiTheme="majorHAnsi" w:hAnsiTheme="majorHAnsi" w:cstheme="minorHAnsi"/>
          <w:color w:val="000000" w:themeColor="text1"/>
        </w:rPr>
        <w:t xml:space="preserve"> South Africa’s services trade negotiations, including the fact that currently the country’s negotiators have insufficient information and knowledge to drive an effective services agenda (</w:t>
      </w:r>
      <w:r w:rsidRPr="007A7A27">
        <w:rPr>
          <w:rFonts w:asciiTheme="majorHAnsi" w:hAnsiTheme="majorHAnsi" w:cstheme="minorHAnsi"/>
          <w:color w:val="000000" w:themeColor="text1"/>
        </w:rPr>
        <w:t xml:space="preserve">Sauvé </w:t>
      </w:r>
      <w:r w:rsidR="00E73001">
        <w:rPr>
          <w:rFonts w:asciiTheme="majorHAnsi" w:hAnsiTheme="majorHAnsi" w:cstheme="minorHAnsi"/>
          <w:color w:val="000000" w:themeColor="text1"/>
        </w:rPr>
        <w:t>&amp;</w:t>
      </w:r>
      <w:r w:rsidRPr="007A7A27">
        <w:rPr>
          <w:rFonts w:asciiTheme="majorHAnsi" w:hAnsiTheme="majorHAnsi" w:cstheme="minorHAnsi"/>
          <w:color w:val="000000" w:themeColor="text1"/>
        </w:rPr>
        <w:t xml:space="preserve"> Roy, 2016</w:t>
      </w:r>
      <w:r w:rsidR="0025535C">
        <w:rPr>
          <w:rFonts w:asciiTheme="majorHAnsi" w:hAnsiTheme="majorHAnsi" w:cstheme="minorHAnsi"/>
          <w:color w:val="000000" w:themeColor="text1"/>
        </w:rPr>
        <w:t xml:space="preserve">). This is </w:t>
      </w:r>
      <w:r w:rsidR="0065431D">
        <w:rPr>
          <w:rFonts w:asciiTheme="majorHAnsi" w:hAnsiTheme="majorHAnsi" w:cstheme="minorHAnsi"/>
          <w:color w:val="000000" w:themeColor="text1"/>
        </w:rPr>
        <w:t xml:space="preserve">a </w:t>
      </w:r>
      <w:r w:rsidR="0025535C">
        <w:rPr>
          <w:rFonts w:asciiTheme="majorHAnsi" w:hAnsiTheme="majorHAnsi" w:cstheme="minorHAnsi"/>
          <w:color w:val="000000" w:themeColor="text1"/>
        </w:rPr>
        <w:t>particularly</w:t>
      </w:r>
      <w:r>
        <w:rPr>
          <w:rFonts w:asciiTheme="majorHAnsi" w:hAnsiTheme="majorHAnsi" w:cstheme="minorHAnsi"/>
          <w:color w:val="000000" w:themeColor="text1"/>
        </w:rPr>
        <w:t xml:space="preserve"> </w:t>
      </w:r>
      <w:r w:rsidR="00BA3209">
        <w:rPr>
          <w:rFonts w:asciiTheme="majorHAnsi" w:hAnsiTheme="majorHAnsi" w:cstheme="minorHAnsi"/>
          <w:color w:val="000000" w:themeColor="text1"/>
        </w:rPr>
        <w:t>worrying factor</w:t>
      </w:r>
      <w:r>
        <w:rPr>
          <w:rFonts w:asciiTheme="majorHAnsi" w:hAnsiTheme="majorHAnsi" w:cstheme="minorHAnsi"/>
          <w:color w:val="000000" w:themeColor="text1"/>
        </w:rPr>
        <w:t xml:space="preserve"> as services are subject to many restrictive policies and regulations, especially in Africa (Rantanen, 2016). The formulation of an effective, inclusive and sustainable trade strategy for services will go a long way towards </w:t>
      </w:r>
      <w:r>
        <w:rPr>
          <w:rFonts w:asciiTheme="majorHAnsi" w:hAnsiTheme="majorHAnsi" w:cstheme="minorHAnsi"/>
          <w:color w:val="000000" w:themeColor="text1"/>
        </w:rPr>
        <w:lastRenderedPageBreak/>
        <w:t xml:space="preserve">dismantling these obstacles and creating a more enabling environment in which service providers can operate and grow. </w:t>
      </w:r>
    </w:p>
    <w:p w14:paraId="4B02FC71" w14:textId="77777777" w:rsidR="00044B66" w:rsidRDefault="00044B66" w:rsidP="004A2C80">
      <w:pPr>
        <w:spacing w:after="0" w:line="360" w:lineRule="auto"/>
        <w:jc w:val="both"/>
        <w:rPr>
          <w:rFonts w:asciiTheme="majorHAnsi" w:hAnsiTheme="majorHAnsi" w:cstheme="minorHAnsi"/>
          <w:color w:val="000000" w:themeColor="text1"/>
        </w:rPr>
      </w:pPr>
    </w:p>
    <w:p w14:paraId="389C767F" w14:textId="222F42B3" w:rsidR="004A2C80" w:rsidRDefault="004A2C80" w:rsidP="004A2C80">
      <w:pPr>
        <w:spacing w:after="0" w:line="360" w:lineRule="auto"/>
        <w:jc w:val="both"/>
        <w:rPr>
          <w:rFonts w:asciiTheme="majorHAnsi" w:hAnsiTheme="majorHAnsi" w:cstheme="minorHAnsi"/>
          <w:color w:val="000000" w:themeColor="text1"/>
        </w:rPr>
      </w:pPr>
      <w:r>
        <w:rPr>
          <w:rFonts w:asciiTheme="majorHAnsi" w:hAnsiTheme="majorHAnsi" w:cstheme="minorHAnsi"/>
          <w:color w:val="000000" w:themeColor="text1"/>
        </w:rPr>
        <w:t xml:space="preserve">The paper concludes by setting out the key elements of </w:t>
      </w:r>
      <w:r w:rsidR="00A15B4A">
        <w:rPr>
          <w:rFonts w:asciiTheme="majorHAnsi" w:hAnsiTheme="majorHAnsi" w:cstheme="minorHAnsi"/>
          <w:color w:val="000000" w:themeColor="text1"/>
        </w:rPr>
        <w:t>an effective</w:t>
      </w:r>
      <w:r>
        <w:rPr>
          <w:rFonts w:asciiTheme="majorHAnsi" w:hAnsiTheme="majorHAnsi" w:cstheme="minorHAnsi"/>
          <w:color w:val="000000" w:themeColor="text1"/>
        </w:rPr>
        <w:t xml:space="preserve"> services trade strategy, gleaned from strategies adopte</w:t>
      </w:r>
      <w:r w:rsidR="0025535C">
        <w:rPr>
          <w:rFonts w:asciiTheme="majorHAnsi" w:hAnsiTheme="majorHAnsi" w:cstheme="minorHAnsi"/>
          <w:color w:val="000000" w:themeColor="text1"/>
        </w:rPr>
        <w:t>d by a range of other countries,</w:t>
      </w:r>
      <w:r>
        <w:rPr>
          <w:rFonts w:asciiTheme="majorHAnsi" w:hAnsiTheme="majorHAnsi" w:cstheme="minorHAnsi"/>
          <w:color w:val="000000" w:themeColor="text1"/>
        </w:rPr>
        <w:t xml:space="preserve"> and highlighting what South Africa can learn from these countries’ successes and failures. </w:t>
      </w:r>
      <w:r w:rsidR="00044B66">
        <w:rPr>
          <w:rFonts w:asciiTheme="majorHAnsi" w:hAnsiTheme="majorHAnsi" w:cstheme="minorHAnsi"/>
          <w:color w:val="000000" w:themeColor="text1"/>
        </w:rPr>
        <w:t>Some of the key elements of such a strategy include:</w:t>
      </w:r>
    </w:p>
    <w:p w14:paraId="179CA110" w14:textId="77777777" w:rsidR="00361914" w:rsidRDefault="00361914" w:rsidP="004A2C80">
      <w:pPr>
        <w:spacing w:after="0" w:line="360" w:lineRule="auto"/>
        <w:jc w:val="both"/>
        <w:rPr>
          <w:rFonts w:asciiTheme="majorHAnsi" w:hAnsiTheme="majorHAnsi" w:cstheme="minorHAnsi"/>
          <w:color w:val="000000" w:themeColor="text1"/>
        </w:rPr>
      </w:pPr>
    </w:p>
    <w:p w14:paraId="516206A3" w14:textId="3542E677" w:rsidR="00A15B4A" w:rsidRDefault="00A15B4A" w:rsidP="0007741A">
      <w:pPr>
        <w:pStyle w:val="ListParagraph"/>
        <w:numPr>
          <w:ilvl w:val="0"/>
          <w:numId w:val="7"/>
        </w:numPr>
        <w:spacing w:after="0" w:line="360" w:lineRule="auto"/>
        <w:ind w:left="426"/>
        <w:jc w:val="both"/>
        <w:rPr>
          <w:rFonts w:asciiTheme="majorHAnsi" w:hAnsiTheme="majorHAnsi" w:cstheme="minorHAnsi"/>
          <w:color w:val="000000" w:themeColor="text1"/>
        </w:rPr>
      </w:pPr>
      <w:r>
        <w:rPr>
          <w:rFonts w:asciiTheme="majorHAnsi" w:hAnsiTheme="majorHAnsi" w:cstheme="minorHAnsi"/>
          <w:color w:val="000000" w:themeColor="text1"/>
        </w:rPr>
        <w:t>The formulation (at the outset) of a na</w:t>
      </w:r>
      <w:r w:rsidR="00BA3209">
        <w:rPr>
          <w:rFonts w:asciiTheme="majorHAnsi" w:hAnsiTheme="majorHAnsi" w:cstheme="minorHAnsi"/>
          <w:color w:val="000000" w:themeColor="text1"/>
        </w:rPr>
        <w:t>tional services sector strategy –</w:t>
      </w:r>
      <w:r>
        <w:rPr>
          <w:rFonts w:asciiTheme="majorHAnsi" w:hAnsiTheme="majorHAnsi" w:cstheme="minorHAnsi"/>
          <w:color w:val="000000" w:themeColor="text1"/>
        </w:rPr>
        <w:t xml:space="preserve"> with </w:t>
      </w:r>
      <w:r w:rsidR="00E55A19">
        <w:rPr>
          <w:rFonts w:asciiTheme="majorHAnsi" w:hAnsiTheme="majorHAnsi" w:cstheme="minorHAnsi"/>
          <w:color w:val="000000" w:themeColor="text1"/>
        </w:rPr>
        <w:t xml:space="preserve">clarity on all the </w:t>
      </w:r>
      <w:r w:rsidR="00BA3209">
        <w:rPr>
          <w:rFonts w:asciiTheme="majorHAnsi" w:hAnsiTheme="majorHAnsi" w:cstheme="minorHAnsi"/>
          <w:color w:val="000000" w:themeColor="text1"/>
        </w:rPr>
        <w:t>relevant economic interlinkages and suggestions for improving domestic service-related policies and regulations –</w:t>
      </w:r>
      <w:r>
        <w:rPr>
          <w:rFonts w:asciiTheme="majorHAnsi" w:hAnsiTheme="majorHAnsi" w:cstheme="minorHAnsi"/>
          <w:color w:val="000000" w:themeColor="text1"/>
        </w:rPr>
        <w:t xml:space="preserve"> on which the services trade strategy can be built</w:t>
      </w:r>
      <w:r w:rsidR="00BA3209">
        <w:rPr>
          <w:rFonts w:asciiTheme="majorHAnsi" w:hAnsiTheme="majorHAnsi" w:cstheme="minorHAnsi"/>
          <w:color w:val="000000" w:themeColor="text1"/>
        </w:rPr>
        <w:t>;</w:t>
      </w:r>
      <w:r w:rsidR="00361914">
        <w:rPr>
          <w:rFonts w:asciiTheme="majorHAnsi" w:hAnsiTheme="majorHAnsi" w:cstheme="minorHAnsi"/>
          <w:color w:val="000000" w:themeColor="text1"/>
        </w:rPr>
        <w:t xml:space="preserve"> </w:t>
      </w:r>
    </w:p>
    <w:p w14:paraId="4C9B6154" w14:textId="3CBC5DBF" w:rsidR="00044B66" w:rsidRPr="00044B66" w:rsidRDefault="00E55A19" w:rsidP="0007741A">
      <w:pPr>
        <w:pStyle w:val="ListParagraph"/>
        <w:numPr>
          <w:ilvl w:val="0"/>
          <w:numId w:val="7"/>
        </w:numPr>
        <w:spacing w:after="0" w:line="360" w:lineRule="auto"/>
        <w:ind w:left="426"/>
        <w:jc w:val="both"/>
        <w:rPr>
          <w:rFonts w:asciiTheme="majorHAnsi" w:hAnsiTheme="majorHAnsi" w:cstheme="minorHAnsi"/>
          <w:color w:val="000000" w:themeColor="text1"/>
        </w:rPr>
      </w:pPr>
      <w:r>
        <w:rPr>
          <w:rFonts w:asciiTheme="majorHAnsi" w:hAnsiTheme="majorHAnsi" w:cstheme="minorHAnsi"/>
          <w:color w:val="000000" w:themeColor="text1"/>
        </w:rPr>
        <w:t>The</w:t>
      </w:r>
      <w:r w:rsidR="00044B66" w:rsidRPr="00044B66">
        <w:rPr>
          <w:rFonts w:asciiTheme="majorHAnsi" w:hAnsiTheme="majorHAnsi" w:cstheme="minorHAnsi"/>
          <w:color w:val="000000" w:themeColor="text1"/>
        </w:rPr>
        <w:t xml:space="preserve"> </w:t>
      </w:r>
      <w:r>
        <w:rPr>
          <w:rFonts w:asciiTheme="majorHAnsi" w:hAnsiTheme="majorHAnsi" w:cstheme="minorHAnsi"/>
          <w:color w:val="000000" w:themeColor="text1"/>
        </w:rPr>
        <w:t xml:space="preserve">adoption of a </w:t>
      </w:r>
      <w:r w:rsidR="00044B66">
        <w:rPr>
          <w:rFonts w:asciiTheme="majorHAnsi" w:hAnsiTheme="majorHAnsi" w:cstheme="minorHAnsi"/>
          <w:color w:val="000000" w:themeColor="text1"/>
        </w:rPr>
        <w:t>sectoral</w:t>
      </w:r>
      <w:r w:rsidR="00044B66" w:rsidRPr="00044B66">
        <w:rPr>
          <w:rFonts w:asciiTheme="majorHAnsi" w:hAnsiTheme="majorHAnsi" w:cstheme="minorHAnsi"/>
          <w:color w:val="000000" w:themeColor="text1"/>
        </w:rPr>
        <w:t xml:space="preserve"> approach </w:t>
      </w:r>
      <w:r w:rsidR="00044B66">
        <w:rPr>
          <w:rFonts w:asciiTheme="majorHAnsi" w:hAnsiTheme="majorHAnsi" w:cstheme="minorHAnsi"/>
          <w:color w:val="000000" w:themeColor="text1"/>
        </w:rPr>
        <w:t>to formulating the</w:t>
      </w:r>
      <w:r w:rsidR="00044B66" w:rsidRPr="00044B66">
        <w:rPr>
          <w:rFonts w:asciiTheme="majorHAnsi" w:hAnsiTheme="majorHAnsi" w:cstheme="minorHAnsi"/>
          <w:color w:val="000000" w:themeColor="text1"/>
        </w:rPr>
        <w:t xml:space="preserve"> services trade strategy </w:t>
      </w:r>
      <w:r w:rsidR="00A15B4A">
        <w:rPr>
          <w:rFonts w:asciiTheme="majorHAnsi" w:hAnsiTheme="majorHAnsi" w:cstheme="minorHAnsi"/>
          <w:color w:val="000000" w:themeColor="text1"/>
        </w:rPr>
        <w:t xml:space="preserve">so as to </w:t>
      </w:r>
      <w:r w:rsidR="00044B66">
        <w:rPr>
          <w:rFonts w:asciiTheme="majorHAnsi" w:hAnsiTheme="majorHAnsi" w:cstheme="minorHAnsi"/>
          <w:color w:val="000000" w:themeColor="text1"/>
        </w:rPr>
        <w:t>properly address sector-specific challenges;</w:t>
      </w:r>
    </w:p>
    <w:p w14:paraId="662AB8DD" w14:textId="21654526" w:rsidR="00044B66" w:rsidRDefault="00E55A19" w:rsidP="0007741A">
      <w:pPr>
        <w:pStyle w:val="ListParagraph"/>
        <w:numPr>
          <w:ilvl w:val="0"/>
          <w:numId w:val="7"/>
        </w:numPr>
        <w:spacing w:after="0" w:line="360" w:lineRule="auto"/>
        <w:ind w:left="426"/>
        <w:jc w:val="both"/>
        <w:rPr>
          <w:rFonts w:asciiTheme="majorHAnsi" w:hAnsiTheme="majorHAnsi" w:cstheme="minorHAnsi"/>
          <w:color w:val="000000" w:themeColor="text1"/>
        </w:rPr>
      </w:pPr>
      <w:r>
        <w:rPr>
          <w:rFonts w:asciiTheme="majorHAnsi" w:hAnsiTheme="majorHAnsi" w:cstheme="minorHAnsi"/>
          <w:color w:val="000000" w:themeColor="text1"/>
        </w:rPr>
        <w:t>The provision of</w:t>
      </w:r>
      <w:r w:rsidR="00044B66">
        <w:rPr>
          <w:rFonts w:asciiTheme="majorHAnsi" w:hAnsiTheme="majorHAnsi" w:cstheme="minorHAnsi"/>
          <w:color w:val="000000" w:themeColor="text1"/>
        </w:rPr>
        <w:t xml:space="preserve"> </w:t>
      </w:r>
      <w:r>
        <w:rPr>
          <w:rFonts w:asciiTheme="majorHAnsi" w:hAnsiTheme="majorHAnsi" w:cstheme="minorHAnsi"/>
          <w:color w:val="000000" w:themeColor="text1"/>
        </w:rPr>
        <w:t xml:space="preserve">proposed </w:t>
      </w:r>
      <w:r w:rsidR="00044B66">
        <w:rPr>
          <w:rFonts w:asciiTheme="majorHAnsi" w:hAnsiTheme="majorHAnsi" w:cstheme="minorHAnsi"/>
          <w:color w:val="000000" w:themeColor="text1"/>
        </w:rPr>
        <w:t>solutions to</w:t>
      </w:r>
      <w:r w:rsidR="00044B66" w:rsidRPr="00044B66">
        <w:rPr>
          <w:rFonts w:asciiTheme="majorHAnsi" w:hAnsiTheme="majorHAnsi" w:cstheme="minorHAnsi"/>
          <w:color w:val="000000" w:themeColor="text1"/>
        </w:rPr>
        <w:t xml:space="preserve"> the </w:t>
      </w:r>
      <w:r w:rsidR="00044B66">
        <w:rPr>
          <w:rFonts w:asciiTheme="majorHAnsi" w:hAnsiTheme="majorHAnsi" w:cstheme="minorHAnsi"/>
          <w:color w:val="000000" w:themeColor="text1"/>
        </w:rPr>
        <w:t xml:space="preserve">typical </w:t>
      </w:r>
      <w:r w:rsidR="00044B66" w:rsidRPr="00044B66">
        <w:rPr>
          <w:rFonts w:asciiTheme="majorHAnsi" w:hAnsiTheme="majorHAnsi" w:cstheme="minorHAnsi"/>
          <w:color w:val="000000" w:themeColor="text1"/>
        </w:rPr>
        <w:t xml:space="preserve">data limitation challenges </w:t>
      </w:r>
      <w:r w:rsidR="00A15B4A">
        <w:rPr>
          <w:rFonts w:asciiTheme="majorHAnsi" w:hAnsiTheme="majorHAnsi" w:cstheme="minorHAnsi"/>
          <w:color w:val="000000" w:themeColor="text1"/>
        </w:rPr>
        <w:t xml:space="preserve">found </w:t>
      </w:r>
      <w:r w:rsidR="00044B66" w:rsidRPr="00044B66">
        <w:rPr>
          <w:rFonts w:asciiTheme="majorHAnsi" w:hAnsiTheme="majorHAnsi" w:cstheme="minorHAnsi"/>
          <w:color w:val="000000" w:themeColor="text1"/>
        </w:rPr>
        <w:t>within the services sector</w:t>
      </w:r>
      <w:r w:rsidR="00044B66">
        <w:rPr>
          <w:rFonts w:asciiTheme="majorHAnsi" w:hAnsiTheme="majorHAnsi" w:cstheme="minorHAnsi"/>
          <w:color w:val="000000" w:themeColor="text1"/>
        </w:rPr>
        <w:t>;</w:t>
      </w:r>
    </w:p>
    <w:p w14:paraId="10CCF5A8" w14:textId="468E6BD3" w:rsidR="00A15B4A" w:rsidRDefault="00E55A19" w:rsidP="0007741A">
      <w:pPr>
        <w:pStyle w:val="ListParagraph"/>
        <w:numPr>
          <w:ilvl w:val="0"/>
          <w:numId w:val="7"/>
        </w:numPr>
        <w:spacing w:after="0" w:line="360" w:lineRule="auto"/>
        <w:ind w:left="426"/>
        <w:jc w:val="both"/>
        <w:rPr>
          <w:rFonts w:asciiTheme="majorHAnsi" w:hAnsiTheme="majorHAnsi" w:cstheme="minorHAnsi"/>
          <w:color w:val="000000" w:themeColor="text1"/>
        </w:rPr>
      </w:pPr>
      <w:r>
        <w:rPr>
          <w:rFonts w:asciiTheme="majorHAnsi" w:hAnsiTheme="majorHAnsi" w:cstheme="minorHAnsi"/>
          <w:color w:val="000000" w:themeColor="text1"/>
        </w:rPr>
        <w:t>The development of a</w:t>
      </w:r>
      <w:r w:rsidR="00361914">
        <w:rPr>
          <w:rFonts w:asciiTheme="majorHAnsi" w:hAnsiTheme="majorHAnsi" w:cstheme="minorHAnsi"/>
          <w:color w:val="000000" w:themeColor="text1"/>
        </w:rPr>
        <w:t>n</w:t>
      </w:r>
      <w:r w:rsidR="00A15B4A">
        <w:rPr>
          <w:rFonts w:asciiTheme="majorHAnsi" w:hAnsiTheme="majorHAnsi" w:cstheme="minorHAnsi"/>
          <w:color w:val="000000" w:themeColor="text1"/>
        </w:rPr>
        <w:t xml:space="preserve"> export promotion </w:t>
      </w:r>
      <w:r w:rsidR="00BA3209">
        <w:rPr>
          <w:rFonts w:asciiTheme="majorHAnsi" w:hAnsiTheme="majorHAnsi" w:cstheme="minorHAnsi"/>
          <w:color w:val="000000" w:themeColor="text1"/>
        </w:rPr>
        <w:t>sub-</w:t>
      </w:r>
      <w:r w:rsidR="00A15B4A">
        <w:rPr>
          <w:rFonts w:asciiTheme="majorHAnsi" w:hAnsiTheme="majorHAnsi" w:cstheme="minorHAnsi"/>
          <w:color w:val="000000" w:themeColor="text1"/>
        </w:rPr>
        <w:t>strategy that identifies and prioritises specific service sectors according to foreign market demand patterns, export capacity, barriers to trade and available/proposed government incentives;</w:t>
      </w:r>
    </w:p>
    <w:p w14:paraId="0636BF09" w14:textId="0FAB1A9B" w:rsidR="00E55A19" w:rsidRDefault="00E55A19" w:rsidP="0007741A">
      <w:pPr>
        <w:pStyle w:val="ListParagraph"/>
        <w:numPr>
          <w:ilvl w:val="0"/>
          <w:numId w:val="7"/>
        </w:numPr>
        <w:spacing w:after="0" w:line="360" w:lineRule="auto"/>
        <w:ind w:left="426"/>
        <w:jc w:val="both"/>
        <w:rPr>
          <w:rFonts w:asciiTheme="majorHAnsi" w:hAnsiTheme="majorHAnsi" w:cstheme="minorHAnsi"/>
          <w:color w:val="000000" w:themeColor="text1"/>
        </w:rPr>
      </w:pPr>
      <w:r>
        <w:rPr>
          <w:rFonts w:asciiTheme="majorHAnsi" w:hAnsiTheme="majorHAnsi" w:cstheme="minorHAnsi"/>
          <w:color w:val="000000" w:themeColor="text1"/>
        </w:rPr>
        <w:t xml:space="preserve">The development of an investment </w:t>
      </w:r>
      <w:r w:rsidR="0065431D">
        <w:rPr>
          <w:rFonts w:asciiTheme="majorHAnsi" w:hAnsiTheme="majorHAnsi" w:cstheme="minorHAnsi"/>
          <w:color w:val="000000" w:themeColor="text1"/>
        </w:rPr>
        <w:t>sub-</w:t>
      </w:r>
      <w:r>
        <w:rPr>
          <w:rFonts w:asciiTheme="majorHAnsi" w:hAnsiTheme="majorHAnsi" w:cstheme="minorHAnsi"/>
          <w:color w:val="000000" w:themeColor="text1"/>
        </w:rPr>
        <w:t>strategy that is responsi</w:t>
      </w:r>
      <w:r w:rsidR="00BA3209">
        <w:rPr>
          <w:rFonts w:asciiTheme="majorHAnsi" w:hAnsiTheme="majorHAnsi" w:cstheme="minorHAnsi"/>
          <w:color w:val="000000" w:themeColor="text1"/>
        </w:rPr>
        <w:t>ve</w:t>
      </w:r>
      <w:r>
        <w:rPr>
          <w:rFonts w:asciiTheme="majorHAnsi" w:hAnsiTheme="majorHAnsi" w:cstheme="minorHAnsi"/>
          <w:color w:val="000000" w:themeColor="text1"/>
        </w:rPr>
        <w:t xml:space="preserve"> to identified export opportunities and priorities;</w:t>
      </w:r>
    </w:p>
    <w:p w14:paraId="7E842599" w14:textId="274B3222" w:rsidR="00A15B4A" w:rsidRDefault="00A15B4A" w:rsidP="0007741A">
      <w:pPr>
        <w:pStyle w:val="ListParagraph"/>
        <w:numPr>
          <w:ilvl w:val="0"/>
          <w:numId w:val="7"/>
        </w:numPr>
        <w:spacing w:after="0" w:line="360" w:lineRule="auto"/>
        <w:ind w:left="426"/>
        <w:jc w:val="both"/>
        <w:rPr>
          <w:rFonts w:asciiTheme="majorHAnsi" w:hAnsiTheme="majorHAnsi" w:cstheme="minorHAnsi"/>
          <w:color w:val="000000" w:themeColor="text1"/>
        </w:rPr>
      </w:pPr>
      <w:r>
        <w:rPr>
          <w:rFonts w:asciiTheme="majorHAnsi" w:hAnsiTheme="majorHAnsi" w:cstheme="minorHAnsi"/>
          <w:color w:val="000000" w:themeColor="text1"/>
        </w:rPr>
        <w:t>The establishment of a special department or unit within government to assume responsibility for services trade promotion and policy development</w:t>
      </w:r>
      <w:r w:rsidR="00BA3209">
        <w:rPr>
          <w:rFonts w:asciiTheme="majorHAnsi" w:hAnsiTheme="majorHAnsi" w:cstheme="minorHAnsi"/>
          <w:color w:val="000000" w:themeColor="text1"/>
        </w:rPr>
        <w:t xml:space="preserve"> and implementation</w:t>
      </w:r>
      <w:r>
        <w:rPr>
          <w:rFonts w:asciiTheme="majorHAnsi" w:hAnsiTheme="majorHAnsi" w:cstheme="minorHAnsi"/>
          <w:color w:val="000000" w:themeColor="text1"/>
        </w:rPr>
        <w:t>;</w:t>
      </w:r>
    </w:p>
    <w:p w14:paraId="463DA076" w14:textId="32286CAC" w:rsidR="00E55A19" w:rsidRDefault="00E55A19" w:rsidP="0007741A">
      <w:pPr>
        <w:pStyle w:val="ListParagraph"/>
        <w:numPr>
          <w:ilvl w:val="0"/>
          <w:numId w:val="7"/>
        </w:numPr>
        <w:spacing w:after="0" w:line="360" w:lineRule="auto"/>
        <w:ind w:left="426"/>
        <w:jc w:val="both"/>
        <w:rPr>
          <w:rFonts w:asciiTheme="majorHAnsi" w:hAnsiTheme="majorHAnsi" w:cstheme="minorHAnsi"/>
          <w:color w:val="000000" w:themeColor="text1"/>
        </w:rPr>
      </w:pPr>
      <w:r>
        <w:rPr>
          <w:rFonts w:asciiTheme="majorHAnsi" w:hAnsiTheme="majorHAnsi" w:cstheme="minorHAnsi"/>
          <w:color w:val="000000" w:themeColor="text1"/>
        </w:rPr>
        <w:t xml:space="preserve">The </w:t>
      </w:r>
      <w:r w:rsidR="00BA3209">
        <w:rPr>
          <w:rFonts w:asciiTheme="majorHAnsi" w:hAnsiTheme="majorHAnsi" w:cstheme="minorHAnsi"/>
          <w:color w:val="000000" w:themeColor="text1"/>
        </w:rPr>
        <w:t>creation</w:t>
      </w:r>
      <w:r>
        <w:rPr>
          <w:rFonts w:asciiTheme="majorHAnsi" w:hAnsiTheme="majorHAnsi" w:cstheme="minorHAnsi"/>
          <w:color w:val="000000" w:themeColor="text1"/>
        </w:rPr>
        <w:t xml:space="preserve"> of effective communication channels between </w:t>
      </w:r>
      <w:r w:rsidR="0065431D">
        <w:rPr>
          <w:rFonts w:asciiTheme="majorHAnsi" w:hAnsiTheme="majorHAnsi" w:cstheme="minorHAnsi"/>
          <w:color w:val="000000" w:themeColor="text1"/>
        </w:rPr>
        <w:t xml:space="preserve">the </w:t>
      </w:r>
      <w:r>
        <w:rPr>
          <w:rFonts w:asciiTheme="majorHAnsi" w:hAnsiTheme="majorHAnsi" w:cstheme="minorHAnsi"/>
          <w:color w:val="000000" w:themeColor="text1"/>
        </w:rPr>
        <w:t xml:space="preserve">different government departments that are responsible for service-related policies and regulations; </w:t>
      </w:r>
    </w:p>
    <w:p w14:paraId="573899ED" w14:textId="5D79757A" w:rsidR="00361914" w:rsidRDefault="00361914" w:rsidP="0007741A">
      <w:pPr>
        <w:pStyle w:val="ListParagraph"/>
        <w:numPr>
          <w:ilvl w:val="0"/>
          <w:numId w:val="7"/>
        </w:numPr>
        <w:spacing w:after="0" w:line="360" w:lineRule="auto"/>
        <w:ind w:left="426"/>
        <w:jc w:val="both"/>
        <w:rPr>
          <w:rFonts w:asciiTheme="majorHAnsi" w:hAnsiTheme="majorHAnsi" w:cstheme="minorHAnsi"/>
          <w:color w:val="000000" w:themeColor="text1"/>
        </w:rPr>
      </w:pPr>
      <w:r>
        <w:rPr>
          <w:rFonts w:asciiTheme="majorHAnsi" w:hAnsiTheme="majorHAnsi" w:cstheme="minorHAnsi"/>
          <w:color w:val="000000" w:themeColor="text1"/>
        </w:rPr>
        <w:t>The alignment of the services trade strategy to government’s overarching political, economic, social, trade and development goals.</w:t>
      </w:r>
    </w:p>
    <w:p w14:paraId="657AC4FE" w14:textId="77777777" w:rsidR="004A2C80" w:rsidRDefault="004A2C80" w:rsidP="004A2C80">
      <w:pPr>
        <w:spacing w:after="0" w:line="360" w:lineRule="auto"/>
        <w:jc w:val="both"/>
        <w:rPr>
          <w:rFonts w:asciiTheme="majorHAnsi" w:hAnsiTheme="majorHAnsi" w:cstheme="minorHAnsi"/>
          <w:color w:val="000000" w:themeColor="text1"/>
        </w:rPr>
      </w:pPr>
    </w:p>
    <w:p w14:paraId="01D86E9E" w14:textId="3188B3CE" w:rsidR="00624FDA" w:rsidRDefault="00B108A2" w:rsidP="007A7A27">
      <w:pPr>
        <w:spacing w:after="0" w:line="360" w:lineRule="auto"/>
        <w:jc w:val="both"/>
        <w:rPr>
          <w:rFonts w:asciiTheme="majorHAnsi" w:hAnsiTheme="majorHAnsi" w:cstheme="minorHAnsi"/>
          <w:color w:val="000000" w:themeColor="text1"/>
        </w:rPr>
      </w:pPr>
      <w:r>
        <w:rPr>
          <w:rFonts w:asciiTheme="majorHAnsi" w:hAnsiTheme="majorHAnsi" w:cstheme="minorHAnsi"/>
          <w:color w:val="000000" w:themeColor="text1"/>
        </w:rPr>
        <w:t xml:space="preserve">A key conclusion in the paper is that for South Africa to derive balanced and sustainable benefits from its services sector, it must </w:t>
      </w:r>
      <w:r w:rsidR="002B1B70">
        <w:rPr>
          <w:rFonts w:asciiTheme="majorHAnsi" w:hAnsiTheme="majorHAnsi" w:cstheme="minorHAnsi"/>
          <w:color w:val="000000" w:themeColor="text1"/>
        </w:rPr>
        <w:t xml:space="preserve">develop a services trade strategy and </w:t>
      </w:r>
      <w:r>
        <w:rPr>
          <w:rFonts w:asciiTheme="majorHAnsi" w:hAnsiTheme="majorHAnsi" w:cstheme="minorHAnsi"/>
          <w:color w:val="000000" w:themeColor="text1"/>
        </w:rPr>
        <w:t xml:space="preserve">ensure that </w:t>
      </w:r>
      <w:r w:rsidR="00A80F02" w:rsidRPr="00AF24A0">
        <w:rPr>
          <w:rFonts w:asciiTheme="majorHAnsi" w:hAnsiTheme="majorHAnsi" w:cstheme="minorHAnsi"/>
          <w:color w:val="000000" w:themeColor="text1"/>
        </w:rPr>
        <w:t xml:space="preserve">the </w:t>
      </w:r>
      <w:r w:rsidRPr="00AF24A0">
        <w:rPr>
          <w:rFonts w:asciiTheme="majorHAnsi" w:hAnsiTheme="majorHAnsi" w:cstheme="minorHAnsi"/>
          <w:color w:val="000000" w:themeColor="text1"/>
        </w:rPr>
        <w:t>strategy</w:t>
      </w:r>
      <w:r>
        <w:rPr>
          <w:rFonts w:asciiTheme="majorHAnsi" w:hAnsiTheme="majorHAnsi" w:cstheme="minorHAnsi"/>
          <w:color w:val="000000" w:themeColor="text1"/>
        </w:rPr>
        <w:t xml:space="preserve"> is regularly revisited and adjusted, if necessary, in line with local and international developments. </w:t>
      </w:r>
      <w:r w:rsidR="0060676E">
        <w:rPr>
          <w:rFonts w:asciiTheme="majorHAnsi" w:hAnsiTheme="majorHAnsi" w:cstheme="minorHAnsi"/>
          <w:color w:val="000000" w:themeColor="text1"/>
        </w:rPr>
        <w:t xml:space="preserve">In this sense, the trade services </w:t>
      </w:r>
      <w:r w:rsidR="00073ADC">
        <w:rPr>
          <w:rFonts w:asciiTheme="majorHAnsi" w:hAnsiTheme="majorHAnsi" w:cstheme="minorHAnsi"/>
          <w:color w:val="000000" w:themeColor="text1"/>
        </w:rPr>
        <w:t xml:space="preserve">‘roadmap’ is not cast in stone. </w:t>
      </w:r>
      <w:r w:rsidR="00BA3209">
        <w:rPr>
          <w:rFonts w:asciiTheme="majorHAnsi" w:hAnsiTheme="majorHAnsi" w:cstheme="minorHAnsi"/>
          <w:color w:val="000000" w:themeColor="text1"/>
        </w:rPr>
        <w:t>Rather, it should</w:t>
      </w:r>
      <w:r w:rsidR="00073ADC">
        <w:rPr>
          <w:rFonts w:asciiTheme="majorHAnsi" w:hAnsiTheme="majorHAnsi" w:cstheme="minorHAnsi"/>
          <w:color w:val="000000" w:themeColor="text1"/>
        </w:rPr>
        <w:t xml:space="preserve"> allow for selective deviations and detours. However, the </w:t>
      </w:r>
      <w:r w:rsidR="00BA3209">
        <w:rPr>
          <w:rFonts w:asciiTheme="majorHAnsi" w:hAnsiTheme="majorHAnsi" w:cstheme="minorHAnsi"/>
          <w:color w:val="000000" w:themeColor="text1"/>
        </w:rPr>
        <w:t xml:space="preserve">overall vision and </w:t>
      </w:r>
      <w:r w:rsidR="00073ADC">
        <w:rPr>
          <w:rFonts w:asciiTheme="majorHAnsi" w:hAnsiTheme="majorHAnsi" w:cstheme="minorHAnsi"/>
          <w:color w:val="000000" w:themeColor="text1"/>
        </w:rPr>
        <w:t xml:space="preserve">general trajectory should </w:t>
      </w:r>
      <w:r w:rsidR="00BA3209">
        <w:rPr>
          <w:rFonts w:asciiTheme="majorHAnsi" w:hAnsiTheme="majorHAnsi" w:cstheme="minorHAnsi"/>
          <w:color w:val="000000" w:themeColor="text1"/>
        </w:rPr>
        <w:t>be maintained</w:t>
      </w:r>
      <w:r w:rsidR="00073ADC">
        <w:rPr>
          <w:rFonts w:asciiTheme="majorHAnsi" w:hAnsiTheme="majorHAnsi" w:cstheme="minorHAnsi"/>
          <w:color w:val="000000" w:themeColor="text1"/>
        </w:rPr>
        <w:t>. The services trade strategy should also allow for monitoring and evaluation of progress against key goals, which will not only allow for correction</w:t>
      </w:r>
      <w:r w:rsidR="00B40BD6">
        <w:rPr>
          <w:rFonts w:asciiTheme="majorHAnsi" w:hAnsiTheme="majorHAnsi" w:cstheme="minorHAnsi"/>
          <w:color w:val="000000" w:themeColor="text1"/>
        </w:rPr>
        <w:t>,</w:t>
      </w:r>
      <w:r w:rsidR="00073ADC">
        <w:rPr>
          <w:rFonts w:asciiTheme="majorHAnsi" w:hAnsiTheme="majorHAnsi" w:cstheme="minorHAnsi"/>
          <w:color w:val="000000" w:themeColor="text1"/>
        </w:rPr>
        <w:t xml:space="preserve"> </w:t>
      </w:r>
      <w:r w:rsidR="00B40BD6">
        <w:rPr>
          <w:rFonts w:asciiTheme="majorHAnsi" w:hAnsiTheme="majorHAnsi" w:cstheme="minorHAnsi"/>
          <w:color w:val="000000" w:themeColor="text1"/>
        </w:rPr>
        <w:t>if and when required,</w:t>
      </w:r>
      <w:r w:rsidR="00073ADC">
        <w:rPr>
          <w:rFonts w:asciiTheme="majorHAnsi" w:hAnsiTheme="majorHAnsi" w:cstheme="minorHAnsi"/>
          <w:color w:val="000000" w:themeColor="text1"/>
        </w:rPr>
        <w:t xml:space="preserve"> but also reveal the </w:t>
      </w:r>
      <w:r w:rsidR="0065431D">
        <w:rPr>
          <w:rFonts w:asciiTheme="majorHAnsi" w:hAnsiTheme="majorHAnsi" w:cstheme="minorHAnsi"/>
          <w:color w:val="000000" w:themeColor="text1"/>
        </w:rPr>
        <w:t xml:space="preserve">relative </w:t>
      </w:r>
      <w:r w:rsidR="00073ADC">
        <w:rPr>
          <w:rFonts w:asciiTheme="majorHAnsi" w:hAnsiTheme="majorHAnsi" w:cstheme="minorHAnsi"/>
          <w:color w:val="000000" w:themeColor="text1"/>
        </w:rPr>
        <w:t xml:space="preserve">effectiveness of the whole </w:t>
      </w:r>
      <w:r w:rsidR="00B40BD6">
        <w:rPr>
          <w:rFonts w:asciiTheme="majorHAnsi" w:hAnsiTheme="majorHAnsi" w:cstheme="minorHAnsi"/>
          <w:color w:val="000000" w:themeColor="text1"/>
        </w:rPr>
        <w:t xml:space="preserve">decision-making and </w:t>
      </w:r>
      <w:r w:rsidR="00073ADC">
        <w:rPr>
          <w:rFonts w:asciiTheme="majorHAnsi" w:hAnsiTheme="majorHAnsi" w:cstheme="minorHAnsi"/>
          <w:color w:val="000000" w:themeColor="text1"/>
        </w:rPr>
        <w:t>strategy formulation process</w:t>
      </w:r>
      <w:r w:rsidR="00B40BD6">
        <w:rPr>
          <w:rFonts w:asciiTheme="majorHAnsi" w:hAnsiTheme="majorHAnsi" w:cstheme="minorHAnsi"/>
          <w:color w:val="000000" w:themeColor="text1"/>
        </w:rPr>
        <w:t>.</w:t>
      </w:r>
      <w:r w:rsidR="00F14FB5">
        <w:rPr>
          <w:rFonts w:asciiTheme="majorHAnsi" w:hAnsiTheme="majorHAnsi" w:cstheme="minorHAnsi"/>
          <w:color w:val="000000" w:themeColor="text1"/>
        </w:rPr>
        <w:t xml:space="preserve"> </w:t>
      </w:r>
    </w:p>
    <w:p w14:paraId="28EF81E6" w14:textId="77777777" w:rsidR="00624FDA" w:rsidRDefault="00624FDA" w:rsidP="007A7A27">
      <w:pPr>
        <w:spacing w:after="0" w:line="360" w:lineRule="auto"/>
        <w:jc w:val="both"/>
        <w:rPr>
          <w:rFonts w:asciiTheme="majorHAnsi" w:hAnsiTheme="majorHAnsi" w:cstheme="minorHAnsi"/>
          <w:color w:val="000000" w:themeColor="text1"/>
        </w:rPr>
      </w:pPr>
    </w:p>
    <w:p w14:paraId="126BA954" w14:textId="0CCF5949" w:rsidR="00904746" w:rsidRDefault="00624FDA" w:rsidP="007A7A27">
      <w:pPr>
        <w:spacing w:after="0" w:line="360" w:lineRule="auto"/>
        <w:jc w:val="both"/>
        <w:rPr>
          <w:rFonts w:asciiTheme="majorHAnsi" w:hAnsiTheme="majorHAnsi" w:cstheme="minorHAnsi"/>
          <w:color w:val="000000" w:themeColor="text1"/>
        </w:rPr>
      </w:pPr>
      <w:r>
        <w:rPr>
          <w:rFonts w:asciiTheme="majorHAnsi" w:hAnsiTheme="majorHAnsi" w:cstheme="minorHAnsi"/>
          <w:color w:val="000000" w:themeColor="text1"/>
        </w:rPr>
        <w:lastRenderedPageBreak/>
        <w:t xml:space="preserve">In today’s interconnected world, it is important that South Africa’s (or any country’s) services trade strategy actively promotes and allows for the exchange of information, technology, investment and expertise, thereby </w:t>
      </w:r>
      <w:r w:rsidR="005A17D8">
        <w:rPr>
          <w:rFonts w:asciiTheme="majorHAnsi" w:hAnsiTheme="majorHAnsi" w:cstheme="minorHAnsi"/>
          <w:color w:val="000000" w:themeColor="text1"/>
        </w:rPr>
        <w:t>adding</w:t>
      </w:r>
      <w:r w:rsidR="00904746">
        <w:rPr>
          <w:rFonts w:asciiTheme="majorHAnsi" w:hAnsiTheme="majorHAnsi" w:cstheme="minorHAnsi"/>
          <w:color w:val="000000" w:themeColor="text1"/>
        </w:rPr>
        <w:t xml:space="preserve"> a strong inner lining to the fabric of the economy.</w:t>
      </w:r>
    </w:p>
    <w:p w14:paraId="3B71D74E" w14:textId="77777777" w:rsidR="00F17DC7" w:rsidRDefault="00F17DC7" w:rsidP="007A7A27">
      <w:pPr>
        <w:spacing w:after="0" w:line="360" w:lineRule="auto"/>
        <w:jc w:val="both"/>
        <w:rPr>
          <w:rFonts w:asciiTheme="majorHAnsi" w:hAnsiTheme="majorHAnsi" w:cstheme="minorHAnsi"/>
          <w:color w:val="000000" w:themeColor="text1"/>
        </w:rPr>
      </w:pPr>
    </w:p>
    <w:p w14:paraId="28827F9C" w14:textId="17F0437D" w:rsidR="00600C61" w:rsidRDefault="00C87B9E" w:rsidP="007A7A27">
      <w:pPr>
        <w:spacing w:after="0" w:line="360" w:lineRule="auto"/>
        <w:jc w:val="both"/>
        <w:rPr>
          <w:rFonts w:asciiTheme="majorHAnsi" w:hAnsiTheme="majorHAnsi" w:cstheme="minorHAnsi"/>
          <w:color w:val="000000" w:themeColor="text1"/>
        </w:rPr>
      </w:pPr>
      <w:r>
        <w:rPr>
          <w:rFonts w:asciiTheme="majorHAnsi" w:hAnsiTheme="majorHAnsi" w:cstheme="minorHAnsi"/>
          <w:color w:val="000000" w:themeColor="text1"/>
        </w:rPr>
        <w:t>The paper should be of particular interest to developing countries that are</w:t>
      </w:r>
      <w:r w:rsidR="0007741A">
        <w:rPr>
          <w:rFonts w:asciiTheme="majorHAnsi" w:hAnsiTheme="majorHAnsi" w:cstheme="minorHAnsi"/>
          <w:color w:val="000000" w:themeColor="text1"/>
        </w:rPr>
        <w:t xml:space="preserve"> keen to develop the potential of their services sector, particularly as a vehicle for </w:t>
      </w:r>
      <w:r w:rsidR="00BA3209">
        <w:rPr>
          <w:rFonts w:asciiTheme="majorHAnsi" w:hAnsiTheme="majorHAnsi" w:cstheme="minorHAnsi"/>
          <w:color w:val="000000" w:themeColor="text1"/>
        </w:rPr>
        <w:t>achieving greater competitiveness</w:t>
      </w:r>
      <w:r w:rsidR="0007741A">
        <w:rPr>
          <w:rFonts w:asciiTheme="majorHAnsi" w:hAnsiTheme="majorHAnsi" w:cstheme="minorHAnsi"/>
          <w:color w:val="000000" w:themeColor="text1"/>
        </w:rPr>
        <w:t xml:space="preserve"> and </w:t>
      </w:r>
      <w:r w:rsidR="00BA3209">
        <w:rPr>
          <w:rFonts w:asciiTheme="majorHAnsi" w:hAnsiTheme="majorHAnsi" w:cstheme="minorHAnsi"/>
          <w:color w:val="000000" w:themeColor="text1"/>
        </w:rPr>
        <w:t>extended reach into international markets</w:t>
      </w:r>
      <w:r w:rsidR="0007741A">
        <w:rPr>
          <w:rFonts w:asciiTheme="majorHAnsi" w:hAnsiTheme="majorHAnsi" w:cstheme="minorHAnsi"/>
          <w:color w:val="000000" w:themeColor="text1"/>
        </w:rPr>
        <w:t xml:space="preserve">. </w:t>
      </w:r>
    </w:p>
    <w:p w14:paraId="682CD65D" w14:textId="77777777" w:rsidR="007C7C8D" w:rsidRDefault="007C7C8D" w:rsidP="007A7A27">
      <w:pPr>
        <w:spacing w:after="0" w:line="360" w:lineRule="auto"/>
        <w:jc w:val="both"/>
        <w:rPr>
          <w:rFonts w:asciiTheme="majorHAnsi" w:hAnsiTheme="majorHAnsi" w:cstheme="minorHAnsi"/>
          <w:color w:val="000000" w:themeColor="text1"/>
        </w:rPr>
      </w:pPr>
    </w:p>
    <w:p w14:paraId="155A9CAF" w14:textId="23C2E7EA" w:rsidR="005C5BF4" w:rsidRPr="007A7A27" w:rsidRDefault="005C5BF4" w:rsidP="007A7A27">
      <w:pPr>
        <w:spacing w:after="0" w:line="360" w:lineRule="auto"/>
        <w:jc w:val="both"/>
        <w:rPr>
          <w:rFonts w:asciiTheme="majorHAnsi" w:hAnsiTheme="majorHAnsi" w:cs="Times New Roman"/>
          <w:color w:val="000000" w:themeColor="text1"/>
        </w:rPr>
      </w:pPr>
      <w:r w:rsidRPr="007A7A27">
        <w:rPr>
          <w:rFonts w:asciiTheme="majorHAnsi" w:hAnsiTheme="majorHAnsi" w:cs="Times New Roman"/>
          <w:b/>
          <w:color w:val="000000" w:themeColor="text1"/>
        </w:rPr>
        <w:t xml:space="preserve">Keywords: </w:t>
      </w:r>
      <w:r w:rsidR="00DE00C8" w:rsidRPr="007A7A27">
        <w:rPr>
          <w:rFonts w:asciiTheme="majorHAnsi" w:hAnsiTheme="majorHAnsi" w:cs="Times New Roman"/>
          <w:color w:val="000000" w:themeColor="text1"/>
        </w:rPr>
        <w:t>services trade, connectivity, trade negotiations, trade strategy, South Africa</w:t>
      </w:r>
    </w:p>
    <w:p w14:paraId="5039A2A4" w14:textId="77777777" w:rsidR="005C5BF4" w:rsidRPr="007A7A27" w:rsidRDefault="005C5BF4" w:rsidP="007A7A27">
      <w:pPr>
        <w:spacing w:after="0" w:line="360" w:lineRule="auto"/>
        <w:jc w:val="both"/>
        <w:rPr>
          <w:rFonts w:asciiTheme="majorHAnsi" w:hAnsiTheme="majorHAnsi" w:cs="Times New Roman"/>
          <w:color w:val="000000" w:themeColor="text1"/>
        </w:rPr>
      </w:pPr>
    </w:p>
    <w:p w14:paraId="4E2148D7" w14:textId="77777777" w:rsidR="005C5BF4" w:rsidRPr="007A7A27" w:rsidRDefault="005C5BF4" w:rsidP="007A7A27">
      <w:pPr>
        <w:spacing w:after="0" w:line="360" w:lineRule="auto"/>
        <w:rPr>
          <w:rFonts w:asciiTheme="majorHAnsi" w:hAnsiTheme="majorHAnsi"/>
          <w:color w:val="000000" w:themeColor="text1"/>
        </w:rPr>
      </w:pPr>
      <w:r w:rsidRPr="007A7A27">
        <w:rPr>
          <w:rFonts w:asciiTheme="majorHAnsi" w:hAnsiTheme="majorHAnsi"/>
          <w:b/>
          <w:color w:val="000000" w:themeColor="text1"/>
        </w:rPr>
        <w:t>JEL codes</w:t>
      </w:r>
      <w:r w:rsidR="002561FA" w:rsidRPr="007A7A27">
        <w:rPr>
          <w:rFonts w:asciiTheme="majorHAnsi" w:hAnsiTheme="majorHAnsi"/>
          <w:b/>
          <w:color w:val="000000" w:themeColor="text1"/>
        </w:rPr>
        <w:t>: F 140, F 130</w:t>
      </w:r>
    </w:p>
    <w:p w14:paraId="7E8A969E" w14:textId="0E73CD2B" w:rsidR="00A311B3" w:rsidRDefault="00632E7E" w:rsidP="00632E7E">
      <w:pPr>
        <w:spacing w:after="0" w:line="360" w:lineRule="auto"/>
        <w:jc w:val="both"/>
        <w:rPr>
          <w:rFonts w:asciiTheme="majorHAnsi" w:hAnsiTheme="majorHAnsi"/>
          <w:b/>
          <w:color w:val="000000" w:themeColor="text1"/>
        </w:rPr>
      </w:pPr>
      <w:r>
        <w:rPr>
          <w:rFonts w:asciiTheme="majorHAnsi" w:hAnsiTheme="majorHAnsi"/>
          <w:b/>
          <w:color w:val="000000" w:themeColor="text1"/>
        </w:rPr>
        <w:t>______________________________________________________________________________________________________________</w:t>
      </w:r>
    </w:p>
    <w:p w14:paraId="0B92A7C4" w14:textId="77777777" w:rsidR="00632E7E" w:rsidRDefault="00632E7E" w:rsidP="007A7A27">
      <w:pPr>
        <w:spacing w:line="360" w:lineRule="auto"/>
        <w:jc w:val="both"/>
        <w:rPr>
          <w:rFonts w:asciiTheme="majorHAnsi" w:hAnsiTheme="majorHAnsi"/>
          <w:b/>
          <w:color w:val="000000" w:themeColor="text1"/>
        </w:rPr>
      </w:pPr>
    </w:p>
    <w:p w14:paraId="4EBE7ACF" w14:textId="77777777" w:rsidR="00A232B8" w:rsidRPr="007A7A27" w:rsidRDefault="00A232B8" w:rsidP="007A7A27">
      <w:pPr>
        <w:spacing w:line="360" w:lineRule="auto"/>
        <w:jc w:val="both"/>
        <w:rPr>
          <w:rFonts w:asciiTheme="majorHAnsi" w:hAnsiTheme="majorHAnsi"/>
          <w:b/>
          <w:color w:val="000000" w:themeColor="text1"/>
        </w:rPr>
      </w:pPr>
      <w:r w:rsidRPr="007A7A27">
        <w:rPr>
          <w:rFonts w:asciiTheme="majorHAnsi" w:hAnsiTheme="majorHAnsi"/>
          <w:b/>
          <w:color w:val="000000" w:themeColor="text1"/>
        </w:rPr>
        <w:t>References</w:t>
      </w:r>
    </w:p>
    <w:p w14:paraId="7C7A2C8A" w14:textId="59306594" w:rsidR="0054060C" w:rsidRPr="007A7A27" w:rsidRDefault="007164DD"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Christen, E. &amp; Francois, J. 2010. Modes of delivery in services. Linz: Johannes Kepler University of Linz. Paper no. 1008, Jun. http:.//econ.jku.at/papers/2010/wp1008.pdf.</w:t>
      </w:r>
      <w:r w:rsidR="00A66A06" w:rsidRPr="00A66A06">
        <w:rPr>
          <w:rFonts w:asciiTheme="majorHAnsi" w:hAnsiTheme="majorHAnsi"/>
          <w:color w:val="000000" w:themeColor="text1"/>
        </w:rPr>
        <w:t xml:space="preserve"> </w:t>
      </w:r>
      <w:r w:rsidR="00A66A06" w:rsidRPr="007A7A27">
        <w:rPr>
          <w:rFonts w:asciiTheme="majorHAnsi" w:hAnsiTheme="majorHAnsi"/>
          <w:color w:val="000000" w:themeColor="text1"/>
        </w:rPr>
        <w:t xml:space="preserve">Accessed on </w:t>
      </w:r>
      <w:r w:rsidR="00A66A06">
        <w:rPr>
          <w:rFonts w:asciiTheme="majorHAnsi" w:hAnsiTheme="majorHAnsi"/>
          <w:color w:val="000000" w:themeColor="text1"/>
        </w:rPr>
        <w:t>20</w:t>
      </w:r>
      <w:r w:rsidR="00A66A06" w:rsidRPr="007A7A27">
        <w:rPr>
          <w:rFonts w:asciiTheme="majorHAnsi" w:hAnsiTheme="majorHAnsi"/>
          <w:color w:val="000000" w:themeColor="text1"/>
        </w:rPr>
        <w:t xml:space="preserve"> February 2017.</w:t>
      </w:r>
    </w:p>
    <w:p w14:paraId="760BA610" w14:textId="7F17C998" w:rsidR="00EC7B7E" w:rsidRPr="007A7A27" w:rsidRDefault="000F55B6"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 xml:space="preserve">Cronje, J.B. 2014. SADC </w:t>
      </w:r>
      <w:r w:rsidR="008B6F60">
        <w:rPr>
          <w:rFonts w:asciiTheme="majorHAnsi" w:hAnsiTheme="majorHAnsi"/>
          <w:color w:val="000000" w:themeColor="text1"/>
        </w:rPr>
        <w:t xml:space="preserve">Trade in Services Negotiations. </w:t>
      </w:r>
      <w:r w:rsidR="008B6F60" w:rsidRPr="008B6F60">
        <w:rPr>
          <w:rFonts w:asciiTheme="majorHAnsi" w:hAnsiTheme="majorHAnsi"/>
        </w:rPr>
        <w:t>https://www.tralac.org/discussions</w:t>
      </w:r>
      <w:r w:rsidR="008B6F60">
        <w:rPr>
          <w:rFonts w:asciiTheme="majorHAnsi" w:hAnsiTheme="majorHAnsi"/>
        </w:rPr>
        <w:t xml:space="preserve"> </w:t>
      </w:r>
      <w:r w:rsidR="008B6F60" w:rsidRPr="008B6F60">
        <w:rPr>
          <w:rFonts w:asciiTheme="majorHAnsi" w:hAnsiTheme="majorHAnsi"/>
        </w:rPr>
        <w:t>/article/5355-sadc-trade-in-services-negotiations.html</w:t>
      </w:r>
      <w:r w:rsidR="008B6F60">
        <w:rPr>
          <w:rFonts w:asciiTheme="majorHAnsi" w:hAnsiTheme="majorHAnsi"/>
          <w:color w:val="000000" w:themeColor="text1"/>
        </w:rPr>
        <w:t xml:space="preserve">. </w:t>
      </w:r>
      <w:r w:rsidRPr="007A7A27">
        <w:rPr>
          <w:rFonts w:asciiTheme="majorHAnsi" w:hAnsiTheme="majorHAnsi"/>
          <w:color w:val="000000" w:themeColor="text1"/>
        </w:rPr>
        <w:t xml:space="preserve">Accessed on 18 February 2017. </w:t>
      </w:r>
    </w:p>
    <w:p w14:paraId="5840F472" w14:textId="51BC73A6" w:rsidR="000F55B6" w:rsidRPr="008B6F60" w:rsidRDefault="000F55B6" w:rsidP="007A7A27">
      <w:pPr>
        <w:spacing w:line="360" w:lineRule="auto"/>
        <w:jc w:val="both"/>
        <w:rPr>
          <w:rFonts w:asciiTheme="majorHAnsi" w:hAnsiTheme="majorHAnsi"/>
        </w:rPr>
      </w:pPr>
      <w:r w:rsidRPr="008B6F60">
        <w:rPr>
          <w:rFonts w:asciiTheme="majorHAnsi" w:hAnsiTheme="majorHAnsi"/>
        </w:rPr>
        <w:t>Cronje, J.B. 2015. SADC Trade in Services negotiations and the development of sector specific annexes.</w:t>
      </w:r>
      <w:r w:rsidR="0074310B">
        <w:rPr>
          <w:rFonts w:asciiTheme="majorHAnsi" w:hAnsiTheme="majorHAnsi"/>
        </w:rPr>
        <w:t xml:space="preserve"> </w:t>
      </w:r>
      <w:hyperlink r:id="rId8" w:history="1">
        <w:r w:rsidR="00B70F93" w:rsidRPr="00B70F93">
          <w:rPr>
            <w:rStyle w:val="Hyperlink"/>
            <w:rFonts w:asciiTheme="majorHAnsi" w:hAnsiTheme="majorHAnsi"/>
            <w:color w:val="auto"/>
            <w:u w:val="none"/>
          </w:rPr>
          <w:t>https://www.tralac.org/discussions/article/7426-sadc-trade-in-services-negotiations -and-the-development-of-sector-specific-annexes.html</w:t>
        </w:r>
      </w:hyperlink>
      <w:r w:rsidR="00B70F93" w:rsidRPr="00B70F93">
        <w:rPr>
          <w:rFonts w:asciiTheme="majorHAnsi" w:hAnsiTheme="majorHAnsi"/>
        </w:rPr>
        <w:t xml:space="preserve">. </w:t>
      </w:r>
      <w:r w:rsidR="006111B4" w:rsidRPr="008B6F60">
        <w:rPr>
          <w:rFonts w:asciiTheme="majorHAnsi" w:hAnsiTheme="majorHAnsi"/>
        </w:rPr>
        <w:t>Accessed on 18 February 2017.</w:t>
      </w:r>
    </w:p>
    <w:p w14:paraId="4EEE9760" w14:textId="79685209" w:rsidR="009A742C" w:rsidRPr="007A7A27" w:rsidRDefault="009A742C"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 xml:space="preserve">Draper, P., Lacey, S. &amp; Ramkolowan, R. 2014. Mega-Regional Trade Agreements: Implications </w:t>
      </w:r>
      <w:r w:rsidR="006111B4">
        <w:rPr>
          <w:rFonts w:asciiTheme="majorHAnsi" w:hAnsiTheme="majorHAnsi"/>
          <w:color w:val="000000" w:themeColor="text1"/>
        </w:rPr>
        <w:t>f</w:t>
      </w:r>
      <w:r w:rsidRPr="007A7A27">
        <w:rPr>
          <w:rFonts w:asciiTheme="majorHAnsi" w:hAnsiTheme="majorHAnsi"/>
          <w:color w:val="000000" w:themeColor="text1"/>
        </w:rPr>
        <w:t xml:space="preserve">or </w:t>
      </w:r>
      <w:r w:rsidR="006111B4">
        <w:rPr>
          <w:rFonts w:asciiTheme="majorHAnsi" w:hAnsiTheme="majorHAnsi"/>
          <w:color w:val="000000" w:themeColor="text1"/>
        </w:rPr>
        <w:t>t</w:t>
      </w:r>
      <w:r w:rsidRPr="007A7A27">
        <w:rPr>
          <w:rFonts w:asciiTheme="majorHAnsi" w:hAnsiTheme="majorHAnsi"/>
          <w:color w:val="000000" w:themeColor="text1"/>
        </w:rPr>
        <w:t>he African, Caribbean</w:t>
      </w:r>
      <w:r w:rsidR="006111B4">
        <w:rPr>
          <w:rFonts w:asciiTheme="majorHAnsi" w:hAnsiTheme="majorHAnsi"/>
          <w:color w:val="000000" w:themeColor="text1"/>
        </w:rPr>
        <w:t xml:space="preserve"> and</w:t>
      </w:r>
      <w:r w:rsidRPr="007A7A27">
        <w:rPr>
          <w:rFonts w:asciiTheme="majorHAnsi" w:hAnsiTheme="majorHAnsi"/>
          <w:color w:val="000000" w:themeColor="text1"/>
        </w:rPr>
        <w:t xml:space="preserve"> Pacific Countries. A report submitted to ACP MT</w:t>
      </w:r>
      <w:r w:rsidR="008B6F60">
        <w:rPr>
          <w:rFonts w:asciiTheme="majorHAnsi" w:hAnsiTheme="majorHAnsi"/>
          <w:color w:val="000000" w:themeColor="text1"/>
        </w:rPr>
        <w:t xml:space="preserve">S Programme, 16th January 2014. </w:t>
      </w:r>
      <w:r w:rsidRPr="007A7A27">
        <w:rPr>
          <w:rFonts w:asciiTheme="majorHAnsi" w:hAnsiTheme="majorHAnsi"/>
          <w:color w:val="000000" w:themeColor="text1"/>
        </w:rPr>
        <w:t>http://www.ecipe.org/app/uploads/2014/12/OCC22014_.pdf</w:t>
      </w:r>
      <w:r w:rsidR="00597C42">
        <w:rPr>
          <w:rFonts w:asciiTheme="majorHAnsi" w:hAnsiTheme="majorHAnsi"/>
          <w:color w:val="000000" w:themeColor="text1"/>
        </w:rPr>
        <w:t>.</w:t>
      </w:r>
      <w:r w:rsidR="006111B4" w:rsidRPr="006111B4">
        <w:rPr>
          <w:rFonts w:asciiTheme="majorHAnsi" w:hAnsiTheme="majorHAnsi"/>
          <w:color w:val="000000" w:themeColor="text1"/>
        </w:rPr>
        <w:t xml:space="preserve"> </w:t>
      </w:r>
      <w:r w:rsidR="006111B4" w:rsidRPr="007A7A27">
        <w:rPr>
          <w:rFonts w:asciiTheme="majorHAnsi" w:hAnsiTheme="majorHAnsi"/>
          <w:color w:val="000000" w:themeColor="text1"/>
        </w:rPr>
        <w:t>Accessed on 18 February 2017.</w:t>
      </w:r>
    </w:p>
    <w:p w14:paraId="1B87F310" w14:textId="409889AA" w:rsidR="00D3341A" w:rsidRPr="007A7A27" w:rsidRDefault="00D3341A"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Eurostat. 2016. I</w:t>
      </w:r>
      <w:r w:rsidR="00597C42">
        <w:rPr>
          <w:rFonts w:asciiTheme="majorHAnsi" w:hAnsiTheme="majorHAnsi"/>
          <w:color w:val="000000" w:themeColor="text1"/>
        </w:rPr>
        <w:t xml:space="preserve">nternational trade in services. </w:t>
      </w:r>
      <w:r w:rsidRPr="007A7A27">
        <w:rPr>
          <w:rFonts w:asciiTheme="majorHAnsi" w:hAnsiTheme="majorHAnsi"/>
          <w:color w:val="000000" w:themeColor="text1"/>
        </w:rPr>
        <w:t>http://ec.europa.eu/eurostat/statistics-explained/index.php/International_trade_in_services</w:t>
      </w:r>
      <w:r w:rsidR="00597C42">
        <w:rPr>
          <w:rFonts w:asciiTheme="majorHAnsi" w:hAnsiTheme="majorHAnsi"/>
          <w:color w:val="000000" w:themeColor="text1"/>
        </w:rPr>
        <w:t>.</w:t>
      </w:r>
      <w:r w:rsidR="00597C42" w:rsidRPr="00597C42">
        <w:rPr>
          <w:rFonts w:asciiTheme="majorHAnsi" w:hAnsiTheme="majorHAnsi"/>
          <w:color w:val="000000" w:themeColor="text1"/>
        </w:rPr>
        <w:t xml:space="preserve"> </w:t>
      </w:r>
      <w:r w:rsidR="00597C42" w:rsidRPr="007A7A27">
        <w:rPr>
          <w:rFonts w:asciiTheme="majorHAnsi" w:hAnsiTheme="majorHAnsi"/>
          <w:color w:val="000000" w:themeColor="text1"/>
        </w:rPr>
        <w:t xml:space="preserve">Accessed on </w:t>
      </w:r>
      <w:r w:rsidR="00597C42">
        <w:rPr>
          <w:rFonts w:asciiTheme="majorHAnsi" w:hAnsiTheme="majorHAnsi"/>
          <w:color w:val="000000" w:themeColor="text1"/>
        </w:rPr>
        <w:t>5</w:t>
      </w:r>
      <w:r w:rsidR="00087544">
        <w:rPr>
          <w:rFonts w:asciiTheme="majorHAnsi" w:hAnsiTheme="majorHAnsi"/>
          <w:color w:val="000000" w:themeColor="text1"/>
        </w:rPr>
        <w:t xml:space="preserve"> </w:t>
      </w:r>
      <w:r w:rsidR="00597C42" w:rsidRPr="007A7A27">
        <w:rPr>
          <w:rFonts w:asciiTheme="majorHAnsi" w:hAnsiTheme="majorHAnsi"/>
          <w:color w:val="000000" w:themeColor="text1"/>
        </w:rPr>
        <w:t>February 2017.</w:t>
      </w:r>
    </w:p>
    <w:p w14:paraId="722AECB9" w14:textId="444CE11D" w:rsidR="007164DD" w:rsidRPr="007A7A27" w:rsidRDefault="007164DD"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 xml:space="preserve">Francois, J. </w:t>
      </w:r>
      <w:r w:rsidR="00BA3209">
        <w:rPr>
          <w:rFonts w:asciiTheme="majorHAnsi" w:hAnsiTheme="majorHAnsi"/>
          <w:color w:val="000000" w:themeColor="text1"/>
        </w:rPr>
        <w:t>&amp;</w:t>
      </w:r>
      <w:r w:rsidRPr="007A7A27">
        <w:rPr>
          <w:rFonts w:asciiTheme="majorHAnsi" w:hAnsiTheme="majorHAnsi"/>
          <w:color w:val="000000" w:themeColor="text1"/>
        </w:rPr>
        <w:t xml:space="preserve"> Hoekman, B. 2010. Services trade and policy. Journal of Economic Literature, 48(3):642-692.</w:t>
      </w:r>
    </w:p>
    <w:p w14:paraId="33E0B4DB" w14:textId="2F216552" w:rsidR="007A7A27" w:rsidRPr="007A7A27" w:rsidRDefault="007A7A27"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ITC see International Trade Centre.</w:t>
      </w:r>
    </w:p>
    <w:p w14:paraId="4E871444" w14:textId="2A112D1A" w:rsidR="007A7A27" w:rsidRPr="007A7A27" w:rsidRDefault="007A7A27"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lastRenderedPageBreak/>
        <w:t>International Trade Centre. 2016. Trade</w:t>
      </w:r>
      <w:r w:rsidR="00455C7A">
        <w:rPr>
          <w:rFonts w:asciiTheme="majorHAnsi" w:hAnsiTheme="majorHAnsi"/>
          <w:color w:val="000000" w:themeColor="text1"/>
        </w:rPr>
        <w:t xml:space="preserve"> </w:t>
      </w:r>
      <w:r w:rsidRPr="007A7A27">
        <w:rPr>
          <w:rFonts w:asciiTheme="majorHAnsi" w:hAnsiTheme="majorHAnsi"/>
          <w:color w:val="000000" w:themeColor="text1"/>
        </w:rPr>
        <w:t>Map. www.trademap.org.</w:t>
      </w:r>
      <w:r w:rsidR="00A66A06" w:rsidRPr="00A66A06">
        <w:rPr>
          <w:rFonts w:asciiTheme="majorHAnsi" w:hAnsiTheme="majorHAnsi"/>
          <w:color w:val="000000" w:themeColor="text1"/>
        </w:rPr>
        <w:t xml:space="preserve"> </w:t>
      </w:r>
      <w:r w:rsidR="00A66A06" w:rsidRPr="007A7A27">
        <w:rPr>
          <w:rFonts w:asciiTheme="majorHAnsi" w:hAnsiTheme="majorHAnsi"/>
          <w:color w:val="000000" w:themeColor="text1"/>
        </w:rPr>
        <w:t xml:space="preserve">Accessed on </w:t>
      </w:r>
      <w:r w:rsidR="00A66A06">
        <w:rPr>
          <w:rFonts w:asciiTheme="majorHAnsi" w:hAnsiTheme="majorHAnsi"/>
          <w:color w:val="000000" w:themeColor="text1"/>
        </w:rPr>
        <w:t>20</w:t>
      </w:r>
      <w:r w:rsidR="00A66A06" w:rsidRPr="007A7A27">
        <w:rPr>
          <w:rFonts w:asciiTheme="majorHAnsi" w:hAnsiTheme="majorHAnsi"/>
          <w:color w:val="000000" w:themeColor="text1"/>
        </w:rPr>
        <w:t xml:space="preserve"> February 2017.</w:t>
      </w:r>
    </w:p>
    <w:p w14:paraId="6A338700" w14:textId="5BE378A7" w:rsidR="009761F5" w:rsidRPr="007A7A27" w:rsidRDefault="009761F5"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Nagel, D. 2016. What are service exports, and why are they suddenly so important?</w:t>
      </w:r>
      <w:r w:rsidR="0015771D" w:rsidRPr="007A7A27">
        <w:rPr>
          <w:rFonts w:asciiTheme="majorHAnsi" w:hAnsiTheme="majorHAnsi"/>
          <w:color w:val="000000" w:themeColor="text1"/>
        </w:rPr>
        <w:t xml:space="preserve"> </w:t>
      </w:r>
      <w:hyperlink r:id="rId9" w:history="1">
        <w:r w:rsidR="006A4828" w:rsidRPr="007A7A27">
          <w:rPr>
            <w:rStyle w:val="Hyperlink"/>
            <w:rFonts w:asciiTheme="majorHAnsi" w:hAnsiTheme="majorHAnsi"/>
            <w:color w:val="000000" w:themeColor="text1"/>
            <w:u w:val="none"/>
          </w:rPr>
          <w:t>http://www.tradeready.ca/2016/trade-takeaways/service-exports-suddenly-important/</w:t>
        </w:r>
      </w:hyperlink>
      <w:r w:rsidR="00087544">
        <w:rPr>
          <w:rStyle w:val="Hyperlink"/>
          <w:rFonts w:asciiTheme="majorHAnsi" w:hAnsiTheme="majorHAnsi"/>
          <w:color w:val="000000" w:themeColor="text1"/>
          <w:u w:val="none"/>
        </w:rPr>
        <w:t xml:space="preserve"> </w:t>
      </w:r>
      <w:r w:rsidR="00597C42" w:rsidRPr="007A7A27">
        <w:rPr>
          <w:rFonts w:asciiTheme="majorHAnsi" w:hAnsiTheme="majorHAnsi"/>
          <w:color w:val="000000" w:themeColor="text1"/>
        </w:rPr>
        <w:t xml:space="preserve">Accessed on </w:t>
      </w:r>
      <w:r w:rsidR="008D0FD5">
        <w:rPr>
          <w:rFonts w:asciiTheme="majorHAnsi" w:hAnsiTheme="majorHAnsi"/>
          <w:color w:val="000000" w:themeColor="text1"/>
        </w:rPr>
        <w:t>7</w:t>
      </w:r>
      <w:r w:rsidR="00597C42" w:rsidRPr="007A7A27">
        <w:rPr>
          <w:rFonts w:asciiTheme="majorHAnsi" w:hAnsiTheme="majorHAnsi"/>
          <w:color w:val="000000" w:themeColor="text1"/>
        </w:rPr>
        <w:t xml:space="preserve"> February 2017.</w:t>
      </w:r>
    </w:p>
    <w:p w14:paraId="23D429DC" w14:textId="1096BFCD" w:rsidR="0019332E" w:rsidRPr="007A7A27" w:rsidRDefault="00AB06FD"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 xml:space="preserve">OECD see </w:t>
      </w:r>
      <w:r w:rsidR="0019332E" w:rsidRPr="007A7A27">
        <w:rPr>
          <w:rFonts w:asciiTheme="majorHAnsi" w:hAnsiTheme="majorHAnsi"/>
          <w:color w:val="000000" w:themeColor="text1"/>
        </w:rPr>
        <w:t>Organisation for Economic Co-operation and Development</w:t>
      </w:r>
      <w:r w:rsidRPr="007A7A27">
        <w:rPr>
          <w:rFonts w:asciiTheme="majorHAnsi" w:hAnsiTheme="majorHAnsi"/>
          <w:color w:val="000000" w:themeColor="text1"/>
        </w:rPr>
        <w:t>.</w:t>
      </w:r>
    </w:p>
    <w:p w14:paraId="1D3367A0" w14:textId="63479E17" w:rsidR="004A15EC" w:rsidRPr="007A7A27" w:rsidRDefault="00BA3209" w:rsidP="007A7A27">
      <w:pPr>
        <w:spacing w:line="360" w:lineRule="auto"/>
        <w:jc w:val="both"/>
        <w:rPr>
          <w:rFonts w:asciiTheme="majorHAnsi" w:hAnsiTheme="majorHAnsi"/>
          <w:color w:val="000000" w:themeColor="text1"/>
        </w:rPr>
      </w:pPr>
      <w:r>
        <w:rPr>
          <w:rFonts w:asciiTheme="majorHAnsi" w:hAnsiTheme="majorHAnsi"/>
          <w:color w:val="000000" w:themeColor="text1"/>
        </w:rPr>
        <w:t>Organisation for Economic Cooperation and Development</w:t>
      </w:r>
      <w:r w:rsidR="004A15EC" w:rsidRPr="007A7A27">
        <w:rPr>
          <w:rFonts w:asciiTheme="majorHAnsi" w:hAnsiTheme="majorHAnsi"/>
          <w:color w:val="000000" w:themeColor="text1"/>
        </w:rPr>
        <w:t>. 2016. New analysis highlights importance of services to global trade. http://www.oecd.org/newsroom/new-analysis-highlights-importance-of-services-to-global-trade.htm</w:t>
      </w:r>
      <w:r w:rsidR="00597C42">
        <w:rPr>
          <w:rFonts w:asciiTheme="majorHAnsi" w:hAnsiTheme="majorHAnsi"/>
          <w:color w:val="000000" w:themeColor="text1"/>
        </w:rPr>
        <w:t>.</w:t>
      </w:r>
      <w:r w:rsidR="00597C42" w:rsidRPr="00597C42">
        <w:rPr>
          <w:rFonts w:asciiTheme="majorHAnsi" w:hAnsiTheme="majorHAnsi"/>
          <w:color w:val="000000" w:themeColor="text1"/>
        </w:rPr>
        <w:t xml:space="preserve"> </w:t>
      </w:r>
      <w:r w:rsidR="00597C42" w:rsidRPr="007A7A27">
        <w:rPr>
          <w:rFonts w:asciiTheme="majorHAnsi" w:hAnsiTheme="majorHAnsi"/>
          <w:color w:val="000000" w:themeColor="text1"/>
        </w:rPr>
        <w:t xml:space="preserve">Accessed on </w:t>
      </w:r>
      <w:r w:rsidR="00597C42">
        <w:rPr>
          <w:rFonts w:asciiTheme="majorHAnsi" w:hAnsiTheme="majorHAnsi"/>
          <w:color w:val="000000" w:themeColor="text1"/>
        </w:rPr>
        <w:t>2</w:t>
      </w:r>
      <w:r w:rsidR="00597C42" w:rsidRPr="007A7A27">
        <w:rPr>
          <w:rFonts w:asciiTheme="majorHAnsi" w:hAnsiTheme="majorHAnsi"/>
          <w:color w:val="000000" w:themeColor="text1"/>
        </w:rPr>
        <w:t xml:space="preserve"> February 2017.</w:t>
      </w:r>
    </w:p>
    <w:p w14:paraId="24E74276" w14:textId="20A627A5" w:rsidR="00536F7C" w:rsidRPr="007A7A27" w:rsidRDefault="001827C9" w:rsidP="007A7A27">
      <w:pPr>
        <w:spacing w:line="360" w:lineRule="auto"/>
        <w:jc w:val="both"/>
        <w:rPr>
          <w:rFonts w:asciiTheme="majorHAnsi" w:hAnsiTheme="majorHAnsi"/>
          <w:color w:val="000000" w:themeColor="text1"/>
        </w:rPr>
      </w:pPr>
      <w:r>
        <w:rPr>
          <w:rFonts w:asciiTheme="majorHAnsi" w:hAnsiTheme="majorHAnsi"/>
          <w:color w:val="000000" w:themeColor="text1"/>
        </w:rPr>
        <w:t>Purfield, C.</w:t>
      </w:r>
      <w:r w:rsidR="00536F7C" w:rsidRPr="007A7A27">
        <w:rPr>
          <w:rFonts w:asciiTheme="majorHAnsi" w:hAnsiTheme="majorHAnsi"/>
          <w:color w:val="000000" w:themeColor="text1"/>
        </w:rPr>
        <w:t xml:space="preserve">M., Farole, T. </w:t>
      </w:r>
      <w:r>
        <w:rPr>
          <w:rFonts w:asciiTheme="majorHAnsi" w:hAnsiTheme="majorHAnsi"/>
          <w:color w:val="000000" w:themeColor="text1"/>
        </w:rPr>
        <w:t>&amp;</w:t>
      </w:r>
      <w:r w:rsidR="00536F7C" w:rsidRPr="007A7A27">
        <w:rPr>
          <w:rFonts w:asciiTheme="majorHAnsi" w:hAnsiTheme="majorHAnsi"/>
          <w:color w:val="000000" w:themeColor="text1"/>
        </w:rPr>
        <w:t xml:space="preserve"> Im, F. 2014. “South Africa Economic Update: Focus on Export Competitiveness”, Washington, DC: World Bank, South Africa Economic Update No. 5.</w:t>
      </w:r>
    </w:p>
    <w:p w14:paraId="6D74D130" w14:textId="7D871369" w:rsidR="007164DD" w:rsidRPr="007A7A27" w:rsidRDefault="007164DD"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Rantanen, L. 2016. Africa’s unexplored potential of trade in services. W</w:t>
      </w:r>
      <w:r w:rsidR="00597C42">
        <w:rPr>
          <w:rFonts w:asciiTheme="majorHAnsi" w:hAnsiTheme="majorHAnsi"/>
          <w:color w:val="000000" w:themeColor="text1"/>
        </w:rPr>
        <w:t xml:space="preserve">orld Bank News. August 4, 2016. </w:t>
      </w:r>
      <w:hyperlink r:id="rId10" w:history="1">
        <w:r w:rsidR="00597C42" w:rsidRPr="00597C42">
          <w:rPr>
            <w:rStyle w:val="Hyperlink"/>
            <w:rFonts w:asciiTheme="majorHAnsi" w:hAnsiTheme="majorHAnsi"/>
            <w:color w:val="auto"/>
            <w:u w:val="none"/>
          </w:rPr>
          <w:t>http://www.worldbank.org/en/news/feature/2016/08/04/africas-unexplored-potential -of-trade-in-services</w:t>
        </w:r>
      </w:hyperlink>
      <w:r w:rsidRPr="007A7A27">
        <w:rPr>
          <w:rFonts w:asciiTheme="majorHAnsi" w:hAnsiTheme="majorHAnsi"/>
          <w:color w:val="000000" w:themeColor="text1"/>
        </w:rPr>
        <w:t>.</w:t>
      </w:r>
      <w:r w:rsidR="00597C42" w:rsidRPr="00597C42">
        <w:rPr>
          <w:rFonts w:asciiTheme="majorHAnsi" w:hAnsiTheme="majorHAnsi"/>
          <w:color w:val="000000" w:themeColor="text1"/>
        </w:rPr>
        <w:t xml:space="preserve"> </w:t>
      </w:r>
      <w:r w:rsidR="00597C42" w:rsidRPr="007A7A27">
        <w:rPr>
          <w:rFonts w:asciiTheme="majorHAnsi" w:hAnsiTheme="majorHAnsi"/>
          <w:color w:val="000000" w:themeColor="text1"/>
        </w:rPr>
        <w:t xml:space="preserve">Accessed on </w:t>
      </w:r>
      <w:r w:rsidR="008D0FD5">
        <w:rPr>
          <w:rFonts w:asciiTheme="majorHAnsi" w:hAnsiTheme="majorHAnsi"/>
          <w:color w:val="000000" w:themeColor="text1"/>
        </w:rPr>
        <w:t>7</w:t>
      </w:r>
      <w:r w:rsidR="00597C42" w:rsidRPr="007A7A27">
        <w:rPr>
          <w:rFonts w:asciiTheme="majorHAnsi" w:hAnsiTheme="majorHAnsi"/>
          <w:color w:val="000000" w:themeColor="text1"/>
        </w:rPr>
        <w:t xml:space="preserve"> February 2017.</w:t>
      </w:r>
    </w:p>
    <w:p w14:paraId="0B11B602" w14:textId="3878ED57" w:rsidR="00536F7C" w:rsidRPr="007A7A27" w:rsidRDefault="00536F7C"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Republic of South Africa Department of Trade and Industry (DTI)</w:t>
      </w:r>
      <w:r w:rsidR="00F14FB5">
        <w:rPr>
          <w:rFonts w:asciiTheme="majorHAnsi" w:hAnsiTheme="majorHAnsi"/>
          <w:color w:val="000000" w:themeColor="text1"/>
        </w:rPr>
        <w:t>.</w:t>
      </w:r>
      <w:r w:rsidRPr="007A7A27">
        <w:rPr>
          <w:rFonts w:asciiTheme="majorHAnsi" w:hAnsiTheme="majorHAnsi"/>
          <w:color w:val="000000" w:themeColor="text1"/>
        </w:rPr>
        <w:t xml:space="preserve"> 2010. “A National Industrial Policy Framework”, Pretoria: DTI.</w:t>
      </w:r>
    </w:p>
    <w:p w14:paraId="41800F97" w14:textId="77777777" w:rsidR="00536F7C" w:rsidRPr="007A7A27" w:rsidRDefault="00536F7C"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Republic of South Africa Department of Trade and Industry (DTI). 2010. “A South African Trade Policy and Strategy Framework”, Pretoria: DTI.</w:t>
      </w:r>
    </w:p>
    <w:p w14:paraId="68E2FBC7" w14:textId="77777777" w:rsidR="00536F7C" w:rsidRPr="007A7A27" w:rsidRDefault="00536F7C"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Republic of South Africa Department of Trade and Industry (DTI). 2016. Industrial Policy Action Plan: IPAP 2016-2019, Pretoria: DTI.</w:t>
      </w:r>
    </w:p>
    <w:p w14:paraId="66E1FF05" w14:textId="0605703C" w:rsidR="00536F7C" w:rsidRPr="007A7A27" w:rsidRDefault="00536F7C"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Republic of South Africa National Planning Commission (NPC). 2012. National Development Plan 2030: Our Future, Make It Work. Retrieved from: http://www.gov.za/issues/national-development-plan-2030.</w:t>
      </w:r>
      <w:r w:rsidR="00A66A06" w:rsidRPr="00A66A06">
        <w:rPr>
          <w:rFonts w:asciiTheme="majorHAnsi" w:hAnsiTheme="majorHAnsi"/>
          <w:color w:val="000000" w:themeColor="text1"/>
        </w:rPr>
        <w:t xml:space="preserve"> </w:t>
      </w:r>
      <w:r w:rsidR="00A66A06" w:rsidRPr="007A7A27">
        <w:rPr>
          <w:rFonts w:asciiTheme="majorHAnsi" w:hAnsiTheme="majorHAnsi"/>
          <w:color w:val="000000" w:themeColor="text1"/>
        </w:rPr>
        <w:t xml:space="preserve">Accessed on </w:t>
      </w:r>
      <w:r w:rsidR="00A66A06">
        <w:rPr>
          <w:rFonts w:asciiTheme="majorHAnsi" w:hAnsiTheme="majorHAnsi"/>
          <w:color w:val="000000" w:themeColor="text1"/>
        </w:rPr>
        <w:t>20</w:t>
      </w:r>
      <w:r w:rsidR="00A66A06" w:rsidRPr="007A7A27">
        <w:rPr>
          <w:rFonts w:asciiTheme="majorHAnsi" w:hAnsiTheme="majorHAnsi"/>
          <w:color w:val="000000" w:themeColor="text1"/>
        </w:rPr>
        <w:t xml:space="preserve"> February 2017.</w:t>
      </w:r>
    </w:p>
    <w:p w14:paraId="5A0FD632" w14:textId="437A99DF" w:rsidR="009761F5" w:rsidRPr="007A7A27" w:rsidRDefault="007164DD"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Roy, M. 2016. The contribution of trade in services and trade policy to promoting connectivity. Presentation at the Aid for Trade workshop: Promoting Connectivity – E</w:t>
      </w:r>
      <w:r w:rsidR="00F14FB5">
        <w:rPr>
          <w:rFonts w:asciiTheme="majorHAnsi" w:hAnsiTheme="majorHAnsi"/>
          <w:color w:val="000000" w:themeColor="text1"/>
        </w:rPr>
        <w:t>xploring the Services Dimension</w:t>
      </w:r>
      <w:r w:rsidRPr="007A7A27">
        <w:rPr>
          <w:rFonts w:asciiTheme="majorHAnsi" w:hAnsiTheme="majorHAnsi"/>
          <w:color w:val="000000" w:themeColor="text1"/>
        </w:rPr>
        <w:t xml:space="preserve">, held </w:t>
      </w:r>
      <w:r w:rsidR="00F14FB5">
        <w:rPr>
          <w:rFonts w:asciiTheme="majorHAnsi" w:hAnsiTheme="majorHAnsi"/>
          <w:color w:val="000000" w:themeColor="text1"/>
        </w:rPr>
        <w:t xml:space="preserve">on </w:t>
      </w:r>
      <w:r w:rsidRPr="007A7A27">
        <w:rPr>
          <w:rFonts w:asciiTheme="majorHAnsi" w:hAnsiTheme="majorHAnsi"/>
          <w:color w:val="000000" w:themeColor="text1"/>
        </w:rPr>
        <w:t xml:space="preserve">17 October 2016. </w:t>
      </w:r>
      <w:hyperlink r:id="rId11" w:history="1">
        <w:r w:rsidR="00597C42" w:rsidRPr="00597C42">
          <w:rPr>
            <w:rStyle w:val="Hyperlink"/>
            <w:rFonts w:asciiTheme="majorHAnsi" w:hAnsiTheme="majorHAnsi"/>
            <w:color w:val="auto"/>
            <w:u w:val="none"/>
          </w:rPr>
          <w:t>https://www.wto.org/english/tratop_e/devel_e/a4t_e/ a4tworshop171016_e.htm</w:t>
        </w:r>
      </w:hyperlink>
      <w:r w:rsidRPr="00597C42">
        <w:rPr>
          <w:rFonts w:asciiTheme="majorHAnsi" w:hAnsiTheme="majorHAnsi"/>
        </w:rPr>
        <w:t>.</w:t>
      </w:r>
      <w:r w:rsidR="00A66A06" w:rsidRPr="00A66A06">
        <w:rPr>
          <w:rFonts w:asciiTheme="majorHAnsi" w:hAnsiTheme="majorHAnsi"/>
          <w:color w:val="000000" w:themeColor="text1"/>
        </w:rPr>
        <w:t xml:space="preserve"> </w:t>
      </w:r>
      <w:r w:rsidR="00A66A06" w:rsidRPr="007A7A27">
        <w:rPr>
          <w:rFonts w:asciiTheme="majorHAnsi" w:hAnsiTheme="majorHAnsi"/>
          <w:color w:val="000000" w:themeColor="text1"/>
        </w:rPr>
        <w:t xml:space="preserve">Accessed on </w:t>
      </w:r>
      <w:r w:rsidR="00A66A06">
        <w:rPr>
          <w:rFonts w:asciiTheme="majorHAnsi" w:hAnsiTheme="majorHAnsi"/>
          <w:color w:val="000000" w:themeColor="text1"/>
        </w:rPr>
        <w:t>20</w:t>
      </w:r>
      <w:r w:rsidR="00A66A06" w:rsidRPr="007A7A27">
        <w:rPr>
          <w:rFonts w:asciiTheme="majorHAnsi" w:hAnsiTheme="majorHAnsi"/>
          <w:color w:val="000000" w:themeColor="text1"/>
        </w:rPr>
        <w:t xml:space="preserve"> February 2017.</w:t>
      </w:r>
    </w:p>
    <w:p w14:paraId="193886C6" w14:textId="7D1FB81F" w:rsidR="0044121E" w:rsidRPr="007A7A27" w:rsidRDefault="0044121E"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SARB see South African Reserve Bank.</w:t>
      </w:r>
    </w:p>
    <w:p w14:paraId="0A15DD35" w14:textId="77777777" w:rsidR="007C6A58" w:rsidRPr="007A7A27" w:rsidRDefault="00255BB7"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Sauvé, P &amp; Roy, M. 2016.</w:t>
      </w:r>
      <w:r w:rsidR="00C92B9A" w:rsidRPr="007A7A27">
        <w:rPr>
          <w:rFonts w:asciiTheme="majorHAnsi" w:hAnsiTheme="majorHAnsi"/>
          <w:color w:val="000000" w:themeColor="text1"/>
        </w:rPr>
        <w:t xml:space="preserve"> Research Handbook on Trade in Services. </w:t>
      </w:r>
      <w:r w:rsidR="0021508A" w:rsidRPr="007A7A27">
        <w:rPr>
          <w:rFonts w:asciiTheme="majorHAnsi" w:hAnsiTheme="majorHAnsi"/>
          <w:color w:val="000000" w:themeColor="text1"/>
        </w:rPr>
        <w:t>Edward Elgar Publishing. Inc.</w:t>
      </w:r>
      <w:r w:rsidR="00B82DD8" w:rsidRPr="007A7A27">
        <w:rPr>
          <w:rFonts w:asciiTheme="majorHAnsi" w:hAnsiTheme="majorHAnsi"/>
          <w:color w:val="000000" w:themeColor="text1"/>
        </w:rPr>
        <w:t xml:space="preserve"> United Kingdom. p. 580</w:t>
      </w:r>
      <w:r w:rsidR="001F00C5" w:rsidRPr="007A7A27">
        <w:rPr>
          <w:rFonts w:asciiTheme="majorHAnsi" w:hAnsiTheme="majorHAnsi"/>
          <w:color w:val="000000" w:themeColor="text1"/>
        </w:rPr>
        <w:t>-609.</w:t>
      </w:r>
    </w:p>
    <w:p w14:paraId="7E1BC2B2" w14:textId="3B980803" w:rsidR="0044121E" w:rsidRPr="007A7A27" w:rsidRDefault="0044121E" w:rsidP="007A7A27">
      <w:pPr>
        <w:spacing w:line="360" w:lineRule="auto"/>
        <w:jc w:val="both"/>
        <w:rPr>
          <w:rFonts w:asciiTheme="majorHAnsi" w:hAnsiTheme="majorHAnsi" w:cstheme="minorHAnsi"/>
          <w:lang w:val="en-GB"/>
        </w:rPr>
      </w:pPr>
      <w:r w:rsidRPr="007A7A27">
        <w:rPr>
          <w:rFonts w:asciiTheme="majorHAnsi" w:hAnsiTheme="majorHAnsi" w:cstheme="minorHAnsi"/>
          <w:lang w:val="en-GB"/>
        </w:rPr>
        <w:lastRenderedPageBreak/>
        <w:t xml:space="preserve">South African Reserve Bank. 2017. Economic and financial data for South Africa. Retrieved from: </w:t>
      </w:r>
      <w:hyperlink r:id="rId12" w:history="1">
        <w:r w:rsidRPr="007A7A27">
          <w:rPr>
            <w:rFonts w:asciiTheme="majorHAnsi" w:hAnsiTheme="majorHAnsi"/>
            <w:lang w:val="en-GB"/>
          </w:rPr>
          <w:t>https://wwwrs.resbank.co.za/webindicators/EconFinDataForSA.aspx</w:t>
        </w:r>
      </w:hyperlink>
      <w:r w:rsidRPr="007A7A27">
        <w:rPr>
          <w:rFonts w:asciiTheme="majorHAnsi" w:hAnsiTheme="majorHAnsi" w:cstheme="minorHAnsi"/>
          <w:lang w:val="en-GB"/>
        </w:rPr>
        <w:t>.</w:t>
      </w:r>
      <w:r w:rsidR="00A66A06" w:rsidRPr="00A66A06">
        <w:rPr>
          <w:rFonts w:asciiTheme="majorHAnsi" w:hAnsiTheme="majorHAnsi"/>
          <w:color w:val="000000" w:themeColor="text1"/>
        </w:rPr>
        <w:t xml:space="preserve"> </w:t>
      </w:r>
      <w:r w:rsidR="00A66A06" w:rsidRPr="007A7A27">
        <w:rPr>
          <w:rFonts w:asciiTheme="majorHAnsi" w:hAnsiTheme="majorHAnsi"/>
          <w:color w:val="000000" w:themeColor="text1"/>
        </w:rPr>
        <w:t xml:space="preserve">Accessed on </w:t>
      </w:r>
      <w:r w:rsidR="00A66A06">
        <w:rPr>
          <w:rFonts w:asciiTheme="majorHAnsi" w:hAnsiTheme="majorHAnsi"/>
          <w:color w:val="000000" w:themeColor="text1"/>
        </w:rPr>
        <w:t>20</w:t>
      </w:r>
      <w:r w:rsidR="00A66A06" w:rsidRPr="007A7A27">
        <w:rPr>
          <w:rFonts w:asciiTheme="majorHAnsi" w:hAnsiTheme="majorHAnsi"/>
          <w:color w:val="000000" w:themeColor="text1"/>
        </w:rPr>
        <w:t xml:space="preserve"> February 2017.</w:t>
      </w:r>
    </w:p>
    <w:p w14:paraId="766A988C" w14:textId="1AC76D2A" w:rsidR="007164DD" w:rsidRPr="007A7A27" w:rsidRDefault="007C6A58"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 xml:space="preserve">World Bank. 2009. </w:t>
      </w:r>
      <w:r w:rsidR="0054060C" w:rsidRPr="007A7A27">
        <w:rPr>
          <w:rFonts w:asciiTheme="majorHAnsi" w:hAnsiTheme="majorHAnsi"/>
          <w:color w:val="000000" w:themeColor="text1"/>
        </w:rPr>
        <w:t xml:space="preserve">Negotiating Trade in </w:t>
      </w:r>
      <w:r w:rsidRPr="007A7A27">
        <w:rPr>
          <w:rFonts w:asciiTheme="majorHAnsi" w:hAnsiTheme="majorHAnsi"/>
          <w:color w:val="000000" w:themeColor="text1"/>
        </w:rPr>
        <w:t>Services. A Prac</w:t>
      </w:r>
      <w:r w:rsidR="0054060C" w:rsidRPr="007A7A27">
        <w:rPr>
          <w:rFonts w:asciiTheme="majorHAnsi" w:hAnsiTheme="majorHAnsi"/>
          <w:color w:val="000000" w:themeColor="text1"/>
        </w:rPr>
        <w:t xml:space="preserve">tical Guide for </w:t>
      </w:r>
      <w:r w:rsidRPr="007A7A27">
        <w:rPr>
          <w:rFonts w:asciiTheme="majorHAnsi" w:hAnsiTheme="majorHAnsi"/>
          <w:color w:val="000000" w:themeColor="text1"/>
        </w:rPr>
        <w:t xml:space="preserve">Developing Countries. </w:t>
      </w:r>
      <w:hyperlink r:id="rId13" w:history="1">
        <w:r w:rsidR="00597C42" w:rsidRPr="00B07218">
          <w:rPr>
            <w:rStyle w:val="Hyperlink"/>
            <w:rFonts w:asciiTheme="majorHAnsi" w:hAnsiTheme="majorHAnsi"/>
            <w:color w:val="auto"/>
            <w:u w:val="none"/>
          </w:rPr>
          <w:t>http://siteresources.worldbank.org/INTRANETTRADE/Resources /239054-1248204247129/ Negotiating_Trade_in_Services.pdf</w:t>
        </w:r>
      </w:hyperlink>
      <w:r w:rsidR="009D4A7B" w:rsidRPr="00B07218">
        <w:rPr>
          <w:rFonts w:asciiTheme="majorHAnsi" w:hAnsiTheme="majorHAnsi"/>
        </w:rPr>
        <w:t>.</w:t>
      </w:r>
      <w:r w:rsidR="008D0FD5" w:rsidRPr="008D0FD5">
        <w:rPr>
          <w:rFonts w:asciiTheme="majorHAnsi" w:hAnsiTheme="majorHAnsi"/>
          <w:color w:val="000000" w:themeColor="text1"/>
        </w:rPr>
        <w:t xml:space="preserve"> </w:t>
      </w:r>
      <w:r w:rsidR="008D0FD5" w:rsidRPr="007A7A27">
        <w:rPr>
          <w:rFonts w:asciiTheme="majorHAnsi" w:hAnsiTheme="majorHAnsi"/>
          <w:color w:val="000000" w:themeColor="text1"/>
        </w:rPr>
        <w:t xml:space="preserve">Accessed on </w:t>
      </w:r>
      <w:r w:rsidR="008D0FD5">
        <w:rPr>
          <w:rFonts w:asciiTheme="majorHAnsi" w:hAnsiTheme="majorHAnsi"/>
          <w:color w:val="000000" w:themeColor="text1"/>
        </w:rPr>
        <w:t>7</w:t>
      </w:r>
      <w:r w:rsidR="008D0FD5" w:rsidRPr="007A7A27">
        <w:rPr>
          <w:rFonts w:asciiTheme="majorHAnsi" w:hAnsiTheme="majorHAnsi"/>
          <w:color w:val="000000" w:themeColor="text1"/>
        </w:rPr>
        <w:t xml:space="preserve"> February 2017.</w:t>
      </w:r>
    </w:p>
    <w:p w14:paraId="3FE851CF" w14:textId="658B790F" w:rsidR="009D4A7B" w:rsidRPr="007A7A27" w:rsidRDefault="009D4A7B" w:rsidP="007A7A27">
      <w:pPr>
        <w:spacing w:line="360" w:lineRule="auto"/>
        <w:jc w:val="both"/>
        <w:rPr>
          <w:rFonts w:asciiTheme="majorHAnsi" w:hAnsiTheme="majorHAnsi"/>
          <w:color w:val="000000" w:themeColor="text1"/>
        </w:rPr>
      </w:pPr>
      <w:r w:rsidRPr="007A7A27">
        <w:rPr>
          <w:rFonts w:asciiTheme="majorHAnsi" w:hAnsiTheme="majorHAnsi"/>
          <w:color w:val="000000" w:themeColor="text1"/>
        </w:rPr>
        <w:t>World Trade Organisa</w:t>
      </w:r>
      <w:r w:rsidR="008D0FD5">
        <w:rPr>
          <w:rFonts w:asciiTheme="majorHAnsi" w:hAnsiTheme="majorHAnsi"/>
          <w:color w:val="000000" w:themeColor="text1"/>
        </w:rPr>
        <w:t xml:space="preserve">tion. 2017. Trade Facilitation. </w:t>
      </w:r>
      <w:hyperlink r:id="rId14" w:history="1">
        <w:r w:rsidR="008D0FD5" w:rsidRPr="00455C7A">
          <w:rPr>
            <w:rStyle w:val="Hyperlink"/>
            <w:rFonts w:asciiTheme="majorHAnsi" w:hAnsiTheme="majorHAnsi"/>
            <w:color w:val="auto"/>
            <w:u w:val="none"/>
          </w:rPr>
          <w:t>https://www.wto.org/english/tratop_e</w:t>
        </w:r>
      </w:hyperlink>
      <w:r w:rsidR="008D0FD5" w:rsidRPr="00455C7A">
        <w:rPr>
          <w:rFonts w:asciiTheme="majorHAnsi" w:hAnsiTheme="majorHAnsi"/>
        </w:rPr>
        <w:t xml:space="preserve"> </w:t>
      </w:r>
      <w:r w:rsidRPr="00455C7A">
        <w:rPr>
          <w:rFonts w:asciiTheme="majorHAnsi" w:hAnsiTheme="majorHAnsi"/>
        </w:rPr>
        <w:t>/tradfa_e/tradfa_e.htm.</w:t>
      </w:r>
      <w:r w:rsidR="00A66A06" w:rsidRPr="00A66A06">
        <w:rPr>
          <w:rFonts w:asciiTheme="majorHAnsi" w:hAnsiTheme="majorHAnsi"/>
          <w:color w:val="000000" w:themeColor="text1"/>
        </w:rPr>
        <w:t xml:space="preserve"> </w:t>
      </w:r>
      <w:r w:rsidR="00A66A06" w:rsidRPr="007A7A27">
        <w:rPr>
          <w:rFonts w:asciiTheme="majorHAnsi" w:hAnsiTheme="majorHAnsi"/>
          <w:color w:val="000000" w:themeColor="text1"/>
        </w:rPr>
        <w:t xml:space="preserve">Accessed on </w:t>
      </w:r>
      <w:r w:rsidR="00A66A06">
        <w:rPr>
          <w:rFonts w:asciiTheme="majorHAnsi" w:hAnsiTheme="majorHAnsi"/>
          <w:color w:val="000000" w:themeColor="text1"/>
        </w:rPr>
        <w:t>20</w:t>
      </w:r>
      <w:r w:rsidR="00A66A06" w:rsidRPr="007A7A27">
        <w:rPr>
          <w:rFonts w:asciiTheme="majorHAnsi" w:hAnsiTheme="majorHAnsi"/>
          <w:color w:val="000000" w:themeColor="text1"/>
        </w:rPr>
        <w:t xml:space="preserve"> February 2017.</w:t>
      </w:r>
    </w:p>
    <w:sectPr w:rsidR="009D4A7B" w:rsidRPr="007A7A27" w:rsidSect="00624FDA">
      <w:footerReference w:type="default" r:id="rId15"/>
      <w:pgSz w:w="11906" w:h="16838"/>
      <w:pgMar w:top="1134" w:right="1440" w:bottom="136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AAB44" w14:textId="77777777" w:rsidR="00DA5025" w:rsidRDefault="00DA5025" w:rsidP="00F10619">
      <w:pPr>
        <w:spacing w:after="0" w:line="240" w:lineRule="auto"/>
      </w:pPr>
      <w:r>
        <w:separator/>
      </w:r>
    </w:p>
  </w:endnote>
  <w:endnote w:type="continuationSeparator" w:id="0">
    <w:p w14:paraId="3AF16C04" w14:textId="77777777" w:rsidR="00DA5025" w:rsidRDefault="00DA5025" w:rsidP="00F1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734332"/>
      <w:docPartObj>
        <w:docPartGallery w:val="Page Numbers (Bottom of Page)"/>
        <w:docPartUnique/>
      </w:docPartObj>
    </w:sdtPr>
    <w:sdtEndPr>
      <w:rPr>
        <w:color w:val="808080" w:themeColor="background1" w:themeShade="80"/>
        <w:spacing w:val="60"/>
      </w:rPr>
    </w:sdtEndPr>
    <w:sdtContent>
      <w:p w14:paraId="5776CCF0" w14:textId="77777777" w:rsidR="0060676E" w:rsidRDefault="0060676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F4DF5" w:rsidRPr="00BF4DF5">
          <w:rPr>
            <w:b/>
            <w:bCs/>
            <w:noProof/>
          </w:rPr>
          <w:t>1</w:t>
        </w:r>
        <w:r>
          <w:rPr>
            <w:b/>
            <w:bCs/>
            <w:noProof/>
          </w:rPr>
          <w:fldChar w:fldCharType="end"/>
        </w:r>
        <w:r>
          <w:rPr>
            <w:b/>
            <w:bCs/>
          </w:rPr>
          <w:t xml:space="preserve"> | </w:t>
        </w:r>
        <w:r>
          <w:rPr>
            <w:color w:val="808080" w:themeColor="background1" w:themeShade="80"/>
            <w:spacing w:val="60"/>
          </w:rPr>
          <w:t>Page</w:t>
        </w:r>
      </w:p>
    </w:sdtContent>
  </w:sdt>
  <w:p w14:paraId="03A0FBB7" w14:textId="77777777" w:rsidR="0060676E" w:rsidRDefault="00606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1A64F" w14:textId="77777777" w:rsidR="00DA5025" w:rsidRDefault="00DA5025" w:rsidP="00F10619">
      <w:pPr>
        <w:spacing w:after="0" w:line="240" w:lineRule="auto"/>
      </w:pPr>
      <w:r>
        <w:separator/>
      </w:r>
    </w:p>
  </w:footnote>
  <w:footnote w:type="continuationSeparator" w:id="0">
    <w:p w14:paraId="3670D88B" w14:textId="77777777" w:rsidR="00DA5025" w:rsidRDefault="00DA5025" w:rsidP="00F10619">
      <w:pPr>
        <w:spacing w:after="0" w:line="240" w:lineRule="auto"/>
      </w:pPr>
      <w:r>
        <w:continuationSeparator/>
      </w:r>
    </w:p>
  </w:footnote>
  <w:footnote w:id="1">
    <w:p w14:paraId="58B1BC7A" w14:textId="3C5D5E8C" w:rsidR="0060676E" w:rsidRPr="00F17DC7" w:rsidRDefault="0060676E">
      <w:pPr>
        <w:pStyle w:val="FootnoteText"/>
        <w:rPr>
          <w:rFonts w:asciiTheme="majorHAnsi" w:hAnsiTheme="majorHAnsi"/>
          <w:sz w:val="18"/>
          <w:szCs w:val="18"/>
          <w:lang w:val="en-ZA"/>
        </w:rPr>
      </w:pPr>
      <w:r w:rsidRPr="00F17DC7">
        <w:rPr>
          <w:rStyle w:val="FootnoteReference"/>
          <w:rFonts w:asciiTheme="majorHAnsi" w:hAnsiTheme="majorHAnsi"/>
          <w:sz w:val="18"/>
          <w:szCs w:val="18"/>
        </w:rPr>
        <w:footnoteRef/>
      </w:r>
      <w:r w:rsidRPr="00F17DC7">
        <w:rPr>
          <w:rFonts w:asciiTheme="majorHAnsi" w:hAnsiTheme="majorHAnsi"/>
          <w:sz w:val="18"/>
          <w:szCs w:val="18"/>
        </w:rPr>
        <w:t xml:space="preserve"> </w:t>
      </w:r>
      <w:r w:rsidRPr="00F17DC7">
        <w:rPr>
          <w:rFonts w:asciiTheme="majorHAnsi" w:hAnsiTheme="majorHAnsi"/>
          <w:sz w:val="18"/>
          <w:szCs w:val="18"/>
          <w:lang w:val="en-ZA"/>
        </w:rPr>
        <w:t>Post-doctoral fellow, TRADE research entity, North-West University, Potchefstroom, South Africa</w:t>
      </w:r>
    </w:p>
  </w:footnote>
  <w:footnote w:id="2">
    <w:p w14:paraId="359886BD" w14:textId="6500FDFE" w:rsidR="0060676E" w:rsidRPr="00F17DC7" w:rsidRDefault="0060676E">
      <w:pPr>
        <w:pStyle w:val="FootnoteText"/>
        <w:rPr>
          <w:rFonts w:asciiTheme="majorHAnsi" w:hAnsiTheme="majorHAnsi"/>
          <w:sz w:val="18"/>
          <w:szCs w:val="18"/>
          <w:lang w:val="en-ZA"/>
        </w:rPr>
      </w:pPr>
      <w:r w:rsidRPr="00F17DC7">
        <w:rPr>
          <w:rStyle w:val="FootnoteReference"/>
          <w:rFonts w:asciiTheme="majorHAnsi" w:hAnsiTheme="majorHAnsi"/>
          <w:sz w:val="18"/>
          <w:szCs w:val="18"/>
        </w:rPr>
        <w:footnoteRef/>
      </w:r>
      <w:r w:rsidRPr="00F17DC7">
        <w:rPr>
          <w:rFonts w:asciiTheme="majorHAnsi" w:hAnsiTheme="majorHAnsi"/>
          <w:sz w:val="18"/>
          <w:szCs w:val="18"/>
        </w:rPr>
        <w:t xml:space="preserve"> </w:t>
      </w:r>
      <w:r w:rsidRPr="00F17DC7">
        <w:rPr>
          <w:rFonts w:asciiTheme="majorHAnsi" w:hAnsiTheme="majorHAnsi"/>
          <w:sz w:val="18"/>
          <w:szCs w:val="18"/>
          <w:lang w:val="en-US"/>
        </w:rPr>
        <w:t xml:space="preserve">Associate professor, </w:t>
      </w:r>
      <w:r w:rsidRPr="00F17DC7">
        <w:rPr>
          <w:rFonts w:asciiTheme="majorHAnsi" w:hAnsiTheme="majorHAnsi"/>
          <w:sz w:val="18"/>
          <w:szCs w:val="18"/>
          <w:lang w:val="en-ZA"/>
        </w:rPr>
        <w:t xml:space="preserve"> TRADE research entity, North-West University, Potchefstroom, South Africa</w:t>
      </w:r>
    </w:p>
  </w:footnote>
  <w:footnote w:id="3">
    <w:p w14:paraId="3775C226" w14:textId="29B4C218" w:rsidR="0060676E" w:rsidRPr="00F17DC7" w:rsidRDefault="0060676E">
      <w:pPr>
        <w:pStyle w:val="FootnoteText"/>
        <w:rPr>
          <w:rFonts w:asciiTheme="majorHAnsi" w:hAnsiTheme="majorHAnsi"/>
          <w:sz w:val="18"/>
          <w:szCs w:val="18"/>
          <w:lang w:val="en-ZA"/>
        </w:rPr>
      </w:pPr>
      <w:r w:rsidRPr="00F17DC7">
        <w:rPr>
          <w:rStyle w:val="FootnoteReference"/>
          <w:rFonts w:asciiTheme="majorHAnsi" w:hAnsiTheme="majorHAnsi"/>
          <w:sz w:val="18"/>
          <w:szCs w:val="18"/>
        </w:rPr>
        <w:footnoteRef/>
      </w:r>
      <w:r w:rsidRPr="00F17DC7">
        <w:rPr>
          <w:rFonts w:asciiTheme="majorHAnsi" w:hAnsiTheme="majorHAnsi"/>
          <w:sz w:val="18"/>
          <w:szCs w:val="18"/>
        </w:rPr>
        <w:t xml:space="preserve"> </w:t>
      </w:r>
      <w:r w:rsidRPr="00F17DC7">
        <w:rPr>
          <w:rFonts w:asciiTheme="majorHAnsi" w:hAnsiTheme="majorHAnsi"/>
          <w:sz w:val="18"/>
          <w:szCs w:val="18"/>
          <w:lang w:val="en-ZA"/>
        </w:rPr>
        <w:t>Corresponding author, Chair: WTO Chairs Programme, director of TRADE research entity, North-West University, Potchefstroom, South Africa. Email: Wilma.viviers@nwu.ac.za ; Tel: +27(0)182991445</w:t>
      </w:r>
    </w:p>
  </w:footnote>
  <w:footnote w:id="4">
    <w:p w14:paraId="3BA5FC34" w14:textId="1686E3F2" w:rsidR="0060676E" w:rsidRPr="00764140" w:rsidRDefault="0060676E">
      <w:pPr>
        <w:pStyle w:val="FootnoteText"/>
        <w:rPr>
          <w:lang w:val="en-ZA"/>
        </w:rPr>
      </w:pPr>
      <w:r w:rsidRPr="00F17DC7">
        <w:rPr>
          <w:rStyle w:val="FootnoteReference"/>
          <w:rFonts w:asciiTheme="majorHAnsi" w:hAnsiTheme="majorHAnsi"/>
          <w:sz w:val="18"/>
          <w:szCs w:val="18"/>
        </w:rPr>
        <w:footnoteRef/>
      </w:r>
      <w:r w:rsidRPr="00F17DC7">
        <w:rPr>
          <w:rFonts w:asciiTheme="majorHAnsi" w:hAnsiTheme="majorHAnsi"/>
          <w:sz w:val="18"/>
          <w:szCs w:val="18"/>
        </w:rPr>
        <w:t xml:space="preserve"> </w:t>
      </w:r>
      <w:r w:rsidRPr="00F17DC7">
        <w:rPr>
          <w:rFonts w:asciiTheme="majorHAnsi" w:hAnsiTheme="majorHAnsi"/>
          <w:sz w:val="18"/>
          <w:szCs w:val="18"/>
          <w:lang w:val="en-US"/>
        </w:rPr>
        <w:t>PhD student</w:t>
      </w:r>
      <w:r w:rsidRPr="00F17DC7">
        <w:rPr>
          <w:rFonts w:asciiTheme="majorHAnsi" w:hAnsiTheme="majorHAnsi"/>
          <w:sz w:val="18"/>
          <w:szCs w:val="18"/>
          <w:lang w:val="en-ZA"/>
        </w:rPr>
        <w:t>, North-West University, Potchefstroom, South Africa</w:t>
      </w:r>
    </w:p>
  </w:footnote>
  <w:footnote w:id="5">
    <w:p w14:paraId="16745614" w14:textId="3B06BEB8" w:rsidR="006661C2" w:rsidRPr="00F17DC7" w:rsidRDefault="006661C2" w:rsidP="00F17DC7">
      <w:pPr>
        <w:pStyle w:val="FootnoteText"/>
        <w:jc w:val="both"/>
        <w:rPr>
          <w:sz w:val="18"/>
          <w:szCs w:val="18"/>
          <w:lang w:val="en-ZA"/>
        </w:rPr>
      </w:pPr>
      <w:r w:rsidRPr="00F17DC7">
        <w:rPr>
          <w:rStyle w:val="FootnoteReference"/>
          <w:sz w:val="18"/>
          <w:szCs w:val="18"/>
        </w:rPr>
        <w:footnoteRef/>
      </w:r>
      <w:r w:rsidRPr="00F17DC7">
        <w:rPr>
          <w:sz w:val="18"/>
          <w:szCs w:val="18"/>
        </w:rPr>
        <w:t xml:space="preserve"> </w:t>
      </w:r>
      <w:r w:rsidRPr="00AF24A0">
        <w:rPr>
          <w:sz w:val="18"/>
          <w:szCs w:val="18"/>
          <w:lang w:val="en-ZA"/>
        </w:rPr>
        <w:t>At the time of writing this paper, the South African government ha</w:t>
      </w:r>
      <w:r w:rsidR="00F17DC7" w:rsidRPr="00AF24A0">
        <w:rPr>
          <w:sz w:val="18"/>
          <w:szCs w:val="18"/>
          <w:lang w:val="en-ZA"/>
        </w:rPr>
        <w:t>d</w:t>
      </w:r>
      <w:r w:rsidRPr="00AF24A0">
        <w:rPr>
          <w:sz w:val="18"/>
          <w:szCs w:val="18"/>
          <w:lang w:val="en-ZA"/>
        </w:rPr>
        <w:t xml:space="preserve"> not yet ratified the TFA</w:t>
      </w:r>
      <w:r w:rsidR="00F17DC7" w:rsidRPr="00AF24A0">
        <w:rPr>
          <w:sz w:val="18"/>
          <w:szCs w:val="18"/>
          <w:lang w:val="en-ZA"/>
        </w:rPr>
        <w:t>. H</w:t>
      </w:r>
      <w:r w:rsidRPr="00AF24A0">
        <w:rPr>
          <w:sz w:val="18"/>
          <w:szCs w:val="18"/>
          <w:lang w:val="en-ZA"/>
        </w:rPr>
        <w:t>owever</w:t>
      </w:r>
      <w:r w:rsidR="00F17DC7" w:rsidRPr="00AF24A0">
        <w:rPr>
          <w:sz w:val="18"/>
          <w:szCs w:val="18"/>
          <w:lang w:val="en-ZA"/>
        </w:rPr>
        <w:t>,</w:t>
      </w:r>
      <w:r w:rsidRPr="00AF24A0">
        <w:rPr>
          <w:sz w:val="18"/>
          <w:szCs w:val="18"/>
          <w:lang w:val="en-ZA"/>
        </w:rPr>
        <w:t xml:space="preserve"> </w:t>
      </w:r>
      <w:r w:rsidR="00F17DC7" w:rsidRPr="00AF24A0">
        <w:rPr>
          <w:sz w:val="18"/>
          <w:szCs w:val="18"/>
          <w:lang w:val="en-ZA"/>
        </w:rPr>
        <w:t>it is</w:t>
      </w:r>
      <w:r w:rsidR="00687C37" w:rsidRPr="00AF24A0">
        <w:rPr>
          <w:sz w:val="18"/>
          <w:szCs w:val="18"/>
          <w:lang w:val="en-ZA"/>
        </w:rPr>
        <w:t xml:space="preserve"> currently</w:t>
      </w:r>
      <w:r w:rsidRPr="00AF24A0">
        <w:rPr>
          <w:sz w:val="18"/>
          <w:szCs w:val="18"/>
          <w:lang w:val="en-ZA"/>
        </w:rPr>
        <w:t xml:space="preserve"> </w:t>
      </w:r>
      <w:r w:rsidR="00A80F02" w:rsidRPr="00AF24A0">
        <w:rPr>
          <w:sz w:val="18"/>
          <w:szCs w:val="18"/>
          <w:lang w:val="en-ZA"/>
        </w:rPr>
        <w:t xml:space="preserve">busy with the necessary </w:t>
      </w:r>
      <w:r w:rsidR="00687C37" w:rsidRPr="00AF24A0">
        <w:rPr>
          <w:sz w:val="18"/>
          <w:szCs w:val="18"/>
          <w:lang w:val="en-ZA"/>
        </w:rPr>
        <w:t>ratification formalities.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85FCA"/>
    <w:multiLevelType w:val="hybridMultilevel"/>
    <w:tmpl w:val="19345B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2D711AE"/>
    <w:multiLevelType w:val="hybridMultilevel"/>
    <w:tmpl w:val="08F292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584090F"/>
    <w:multiLevelType w:val="hybridMultilevel"/>
    <w:tmpl w:val="47AE51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8AA1848"/>
    <w:multiLevelType w:val="hybridMultilevel"/>
    <w:tmpl w:val="84D694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B334DA4"/>
    <w:multiLevelType w:val="hybridMultilevel"/>
    <w:tmpl w:val="08064FF0"/>
    <w:lvl w:ilvl="0" w:tplc="126632A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6CDD23C9"/>
    <w:multiLevelType w:val="hybridMultilevel"/>
    <w:tmpl w:val="C51672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A0606B6"/>
    <w:multiLevelType w:val="hybridMultilevel"/>
    <w:tmpl w:val="467A21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D26"/>
    <w:rsid w:val="000001CB"/>
    <w:rsid w:val="00002827"/>
    <w:rsid w:val="00005143"/>
    <w:rsid w:val="00006E8B"/>
    <w:rsid w:val="0001782B"/>
    <w:rsid w:val="000201A5"/>
    <w:rsid w:val="0002509B"/>
    <w:rsid w:val="00025C63"/>
    <w:rsid w:val="00026555"/>
    <w:rsid w:val="00042288"/>
    <w:rsid w:val="00044B66"/>
    <w:rsid w:val="00045C35"/>
    <w:rsid w:val="00047A5C"/>
    <w:rsid w:val="00054DD3"/>
    <w:rsid w:val="00056234"/>
    <w:rsid w:val="0005706C"/>
    <w:rsid w:val="000578E3"/>
    <w:rsid w:val="00063216"/>
    <w:rsid w:val="00065040"/>
    <w:rsid w:val="00067847"/>
    <w:rsid w:val="000711BE"/>
    <w:rsid w:val="00073074"/>
    <w:rsid w:val="000733C1"/>
    <w:rsid w:val="00073ADC"/>
    <w:rsid w:val="0007741A"/>
    <w:rsid w:val="00077D0A"/>
    <w:rsid w:val="000864A8"/>
    <w:rsid w:val="00087544"/>
    <w:rsid w:val="00092B63"/>
    <w:rsid w:val="000A0EED"/>
    <w:rsid w:val="000A1E3D"/>
    <w:rsid w:val="000A721A"/>
    <w:rsid w:val="000B7FE5"/>
    <w:rsid w:val="000C3A25"/>
    <w:rsid w:val="000D2A6D"/>
    <w:rsid w:val="000D5628"/>
    <w:rsid w:val="000E234D"/>
    <w:rsid w:val="000F556D"/>
    <w:rsid w:val="000F55B6"/>
    <w:rsid w:val="00101A63"/>
    <w:rsid w:val="0010460C"/>
    <w:rsid w:val="00104842"/>
    <w:rsid w:val="001050C4"/>
    <w:rsid w:val="001067CC"/>
    <w:rsid w:val="00106904"/>
    <w:rsid w:val="00115A9C"/>
    <w:rsid w:val="00121B08"/>
    <w:rsid w:val="00122E8F"/>
    <w:rsid w:val="001239FA"/>
    <w:rsid w:val="00124485"/>
    <w:rsid w:val="00135FC2"/>
    <w:rsid w:val="00140D0B"/>
    <w:rsid w:val="00154C4D"/>
    <w:rsid w:val="0015771D"/>
    <w:rsid w:val="00161278"/>
    <w:rsid w:val="00164347"/>
    <w:rsid w:val="00164695"/>
    <w:rsid w:val="00166658"/>
    <w:rsid w:val="00172E7D"/>
    <w:rsid w:val="00177203"/>
    <w:rsid w:val="0017765A"/>
    <w:rsid w:val="001827C9"/>
    <w:rsid w:val="00184A63"/>
    <w:rsid w:val="001873D1"/>
    <w:rsid w:val="001874A0"/>
    <w:rsid w:val="00192E5F"/>
    <w:rsid w:val="0019332E"/>
    <w:rsid w:val="001955EB"/>
    <w:rsid w:val="001A72A1"/>
    <w:rsid w:val="001B3121"/>
    <w:rsid w:val="001B4A93"/>
    <w:rsid w:val="001C0B5B"/>
    <w:rsid w:val="001C1403"/>
    <w:rsid w:val="001F00C5"/>
    <w:rsid w:val="001F2F5D"/>
    <w:rsid w:val="001F516A"/>
    <w:rsid w:val="001F55C0"/>
    <w:rsid w:val="00200C93"/>
    <w:rsid w:val="0020436B"/>
    <w:rsid w:val="002148EE"/>
    <w:rsid w:val="0021508A"/>
    <w:rsid w:val="002200D4"/>
    <w:rsid w:val="002242C0"/>
    <w:rsid w:val="002277AB"/>
    <w:rsid w:val="0023212E"/>
    <w:rsid w:val="0023565F"/>
    <w:rsid w:val="00244C59"/>
    <w:rsid w:val="00247D07"/>
    <w:rsid w:val="0025043E"/>
    <w:rsid w:val="0025535C"/>
    <w:rsid w:val="00255BB7"/>
    <w:rsid w:val="002561FA"/>
    <w:rsid w:val="00257FB5"/>
    <w:rsid w:val="00265135"/>
    <w:rsid w:val="002735D9"/>
    <w:rsid w:val="00274CBF"/>
    <w:rsid w:val="00275F34"/>
    <w:rsid w:val="002850A2"/>
    <w:rsid w:val="00290D02"/>
    <w:rsid w:val="002913AA"/>
    <w:rsid w:val="00295392"/>
    <w:rsid w:val="002960DC"/>
    <w:rsid w:val="002A1266"/>
    <w:rsid w:val="002A5547"/>
    <w:rsid w:val="002B1B70"/>
    <w:rsid w:val="002C4803"/>
    <w:rsid w:val="002C714D"/>
    <w:rsid w:val="002D027C"/>
    <w:rsid w:val="002D42EA"/>
    <w:rsid w:val="002D46CD"/>
    <w:rsid w:val="002E25F3"/>
    <w:rsid w:val="002E2650"/>
    <w:rsid w:val="002E3073"/>
    <w:rsid w:val="002E3F2D"/>
    <w:rsid w:val="002E6B0F"/>
    <w:rsid w:val="002E78DA"/>
    <w:rsid w:val="002F011A"/>
    <w:rsid w:val="002F014E"/>
    <w:rsid w:val="002F4285"/>
    <w:rsid w:val="002F4FBC"/>
    <w:rsid w:val="002F6C77"/>
    <w:rsid w:val="002F71CD"/>
    <w:rsid w:val="0030484E"/>
    <w:rsid w:val="00306070"/>
    <w:rsid w:val="00315556"/>
    <w:rsid w:val="0031622D"/>
    <w:rsid w:val="003167F4"/>
    <w:rsid w:val="00322D99"/>
    <w:rsid w:val="003273DC"/>
    <w:rsid w:val="00340945"/>
    <w:rsid w:val="003417F6"/>
    <w:rsid w:val="00345DE9"/>
    <w:rsid w:val="003466CA"/>
    <w:rsid w:val="00347AA0"/>
    <w:rsid w:val="0035305C"/>
    <w:rsid w:val="00353F62"/>
    <w:rsid w:val="0035477C"/>
    <w:rsid w:val="00355C01"/>
    <w:rsid w:val="00361914"/>
    <w:rsid w:val="0037485D"/>
    <w:rsid w:val="003748F1"/>
    <w:rsid w:val="0039136D"/>
    <w:rsid w:val="00391699"/>
    <w:rsid w:val="00391EB0"/>
    <w:rsid w:val="003940B1"/>
    <w:rsid w:val="00394D63"/>
    <w:rsid w:val="003A3535"/>
    <w:rsid w:val="003A4306"/>
    <w:rsid w:val="003A5D72"/>
    <w:rsid w:val="003A67A3"/>
    <w:rsid w:val="003B7CAF"/>
    <w:rsid w:val="003D0882"/>
    <w:rsid w:val="003D0CD1"/>
    <w:rsid w:val="003D4B45"/>
    <w:rsid w:val="003D6C7D"/>
    <w:rsid w:val="003E1A5E"/>
    <w:rsid w:val="003E4E01"/>
    <w:rsid w:val="003E6FAA"/>
    <w:rsid w:val="003E70AD"/>
    <w:rsid w:val="003F39DA"/>
    <w:rsid w:val="004047A8"/>
    <w:rsid w:val="00410B99"/>
    <w:rsid w:val="00413C19"/>
    <w:rsid w:val="00414F70"/>
    <w:rsid w:val="00422B44"/>
    <w:rsid w:val="004302AF"/>
    <w:rsid w:val="00431E47"/>
    <w:rsid w:val="00432DD8"/>
    <w:rsid w:val="004332CD"/>
    <w:rsid w:val="0044121E"/>
    <w:rsid w:val="00445B92"/>
    <w:rsid w:val="0045129C"/>
    <w:rsid w:val="00452029"/>
    <w:rsid w:val="00455C7A"/>
    <w:rsid w:val="00457111"/>
    <w:rsid w:val="004618C2"/>
    <w:rsid w:val="0046374F"/>
    <w:rsid w:val="00464145"/>
    <w:rsid w:val="004650ED"/>
    <w:rsid w:val="00470B2D"/>
    <w:rsid w:val="00471CCE"/>
    <w:rsid w:val="00481ADB"/>
    <w:rsid w:val="004912A7"/>
    <w:rsid w:val="00495D7F"/>
    <w:rsid w:val="004A15EC"/>
    <w:rsid w:val="004A2C80"/>
    <w:rsid w:val="004A2E37"/>
    <w:rsid w:val="004B0F46"/>
    <w:rsid w:val="004B4C60"/>
    <w:rsid w:val="004C5BCE"/>
    <w:rsid w:val="004D2463"/>
    <w:rsid w:val="004D635E"/>
    <w:rsid w:val="004E2066"/>
    <w:rsid w:val="004F347A"/>
    <w:rsid w:val="004F4483"/>
    <w:rsid w:val="004F47FD"/>
    <w:rsid w:val="00511994"/>
    <w:rsid w:val="005120C4"/>
    <w:rsid w:val="00525A8C"/>
    <w:rsid w:val="00533190"/>
    <w:rsid w:val="00533AE4"/>
    <w:rsid w:val="00534AAA"/>
    <w:rsid w:val="00534ECE"/>
    <w:rsid w:val="00536144"/>
    <w:rsid w:val="00536F7C"/>
    <w:rsid w:val="00537557"/>
    <w:rsid w:val="0054060C"/>
    <w:rsid w:val="00540D6E"/>
    <w:rsid w:val="00541F43"/>
    <w:rsid w:val="0054373F"/>
    <w:rsid w:val="00544EDA"/>
    <w:rsid w:val="00554888"/>
    <w:rsid w:val="00557FC2"/>
    <w:rsid w:val="005602D9"/>
    <w:rsid w:val="00560889"/>
    <w:rsid w:val="005633FA"/>
    <w:rsid w:val="00564E53"/>
    <w:rsid w:val="00572C79"/>
    <w:rsid w:val="0057546B"/>
    <w:rsid w:val="005764E4"/>
    <w:rsid w:val="00584032"/>
    <w:rsid w:val="00590EB8"/>
    <w:rsid w:val="005932A2"/>
    <w:rsid w:val="0059621E"/>
    <w:rsid w:val="00597C42"/>
    <w:rsid w:val="005A17D8"/>
    <w:rsid w:val="005A2C57"/>
    <w:rsid w:val="005B1FAC"/>
    <w:rsid w:val="005B2231"/>
    <w:rsid w:val="005B2E87"/>
    <w:rsid w:val="005B53EB"/>
    <w:rsid w:val="005C21FB"/>
    <w:rsid w:val="005C28D2"/>
    <w:rsid w:val="005C33F9"/>
    <w:rsid w:val="005C5BF4"/>
    <w:rsid w:val="005D4716"/>
    <w:rsid w:val="005E2A7D"/>
    <w:rsid w:val="005F2E9C"/>
    <w:rsid w:val="005F6F5B"/>
    <w:rsid w:val="00600C61"/>
    <w:rsid w:val="006058A3"/>
    <w:rsid w:val="0060676E"/>
    <w:rsid w:val="00607897"/>
    <w:rsid w:val="006111B4"/>
    <w:rsid w:val="00613BF9"/>
    <w:rsid w:val="00614CA3"/>
    <w:rsid w:val="00621898"/>
    <w:rsid w:val="00624FDA"/>
    <w:rsid w:val="006257AC"/>
    <w:rsid w:val="0062683F"/>
    <w:rsid w:val="00632E7E"/>
    <w:rsid w:val="0063364F"/>
    <w:rsid w:val="006429AE"/>
    <w:rsid w:val="0064528B"/>
    <w:rsid w:val="006452BF"/>
    <w:rsid w:val="0065105D"/>
    <w:rsid w:val="00651399"/>
    <w:rsid w:val="00652539"/>
    <w:rsid w:val="0065431D"/>
    <w:rsid w:val="00657316"/>
    <w:rsid w:val="00660983"/>
    <w:rsid w:val="00661025"/>
    <w:rsid w:val="00665443"/>
    <w:rsid w:val="006654DC"/>
    <w:rsid w:val="006661C2"/>
    <w:rsid w:val="006674BB"/>
    <w:rsid w:val="006802FA"/>
    <w:rsid w:val="0068158A"/>
    <w:rsid w:val="00687194"/>
    <w:rsid w:val="00687AB8"/>
    <w:rsid w:val="00687C37"/>
    <w:rsid w:val="006956FD"/>
    <w:rsid w:val="00697455"/>
    <w:rsid w:val="006A4828"/>
    <w:rsid w:val="006B3108"/>
    <w:rsid w:val="006B5811"/>
    <w:rsid w:val="006B639A"/>
    <w:rsid w:val="006B7529"/>
    <w:rsid w:val="006C1649"/>
    <w:rsid w:val="006C6093"/>
    <w:rsid w:val="006C708E"/>
    <w:rsid w:val="006C7E83"/>
    <w:rsid w:val="006E1AA5"/>
    <w:rsid w:val="006E5769"/>
    <w:rsid w:val="006F10E0"/>
    <w:rsid w:val="00705E0D"/>
    <w:rsid w:val="007147B9"/>
    <w:rsid w:val="007164DD"/>
    <w:rsid w:val="007206FD"/>
    <w:rsid w:val="00721B19"/>
    <w:rsid w:val="00734C4F"/>
    <w:rsid w:val="00735EFE"/>
    <w:rsid w:val="00740076"/>
    <w:rsid w:val="0074310B"/>
    <w:rsid w:val="0074551B"/>
    <w:rsid w:val="0074667C"/>
    <w:rsid w:val="00746C13"/>
    <w:rsid w:val="00764140"/>
    <w:rsid w:val="00764881"/>
    <w:rsid w:val="00776AEC"/>
    <w:rsid w:val="00782A40"/>
    <w:rsid w:val="0078325A"/>
    <w:rsid w:val="007850F5"/>
    <w:rsid w:val="007960B9"/>
    <w:rsid w:val="007A7A27"/>
    <w:rsid w:val="007B2F17"/>
    <w:rsid w:val="007B6FCC"/>
    <w:rsid w:val="007C3CB0"/>
    <w:rsid w:val="007C57C5"/>
    <w:rsid w:val="007C6A58"/>
    <w:rsid w:val="007C77A1"/>
    <w:rsid w:val="007C7C8D"/>
    <w:rsid w:val="007D70B5"/>
    <w:rsid w:val="008016AC"/>
    <w:rsid w:val="00802DAD"/>
    <w:rsid w:val="00802E61"/>
    <w:rsid w:val="0080337B"/>
    <w:rsid w:val="00810511"/>
    <w:rsid w:val="00811899"/>
    <w:rsid w:val="00811F1D"/>
    <w:rsid w:val="00824E9F"/>
    <w:rsid w:val="00832497"/>
    <w:rsid w:val="00836D2B"/>
    <w:rsid w:val="00840EF1"/>
    <w:rsid w:val="00842C59"/>
    <w:rsid w:val="0085602B"/>
    <w:rsid w:val="00865339"/>
    <w:rsid w:val="00867E24"/>
    <w:rsid w:val="00867F0A"/>
    <w:rsid w:val="008742AE"/>
    <w:rsid w:val="008822FA"/>
    <w:rsid w:val="00882C42"/>
    <w:rsid w:val="0088342F"/>
    <w:rsid w:val="00884D75"/>
    <w:rsid w:val="008856CF"/>
    <w:rsid w:val="00886698"/>
    <w:rsid w:val="008919A7"/>
    <w:rsid w:val="00897D8F"/>
    <w:rsid w:val="008B15D2"/>
    <w:rsid w:val="008B2D7C"/>
    <w:rsid w:val="008B37D6"/>
    <w:rsid w:val="008B6F60"/>
    <w:rsid w:val="008B77E5"/>
    <w:rsid w:val="008C3193"/>
    <w:rsid w:val="008C4D9C"/>
    <w:rsid w:val="008C5526"/>
    <w:rsid w:val="008C656E"/>
    <w:rsid w:val="008D059F"/>
    <w:rsid w:val="008D0FD5"/>
    <w:rsid w:val="008D3633"/>
    <w:rsid w:val="008D4687"/>
    <w:rsid w:val="008E369E"/>
    <w:rsid w:val="008F2A80"/>
    <w:rsid w:val="00904746"/>
    <w:rsid w:val="00906D7E"/>
    <w:rsid w:val="00906EDC"/>
    <w:rsid w:val="00916206"/>
    <w:rsid w:val="00917005"/>
    <w:rsid w:val="00917733"/>
    <w:rsid w:val="00921DD0"/>
    <w:rsid w:val="00923175"/>
    <w:rsid w:val="009238CA"/>
    <w:rsid w:val="0092455B"/>
    <w:rsid w:val="00924CCB"/>
    <w:rsid w:val="00926C51"/>
    <w:rsid w:val="0092729E"/>
    <w:rsid w:val="00934FC6"/>
    <w:rsid w:val="00940A44"/>
    <w:rsid w:val="00942C44"/>
    <w:rsid w:val="00943D4A"/>
    <w:rsid w:val="0094770E"/>
    <w:rsid w:val="009535C1"/>
    <w:rsid w:val="00953B84"/>
    <w:rsid w:val="009558ED"/>
    <w:rsid w:val="00956FE1"/>
    <w:rsid w:val="009637D6"/>
    <w:rsid w:val="00967610"/>
    <w:rsid w:val="00967F1B"/>
    <w:rsid w:val="00971D82"/>
    <w:rsid w:val="00975525"/>
    <w:rsid w:val="009761F5"/>
    <w:rsid w:val="00981964"/>
    <w:rsid w:val="009838D8"/>
    <w:rsid w:val="009A0FF9"/>
    <w:rsid w:val="009A6C3C"/>
    <w:rsid w:val="009A742C"/>
    <w:rsid w:val="009A7AEE"/>
    <w:rsid w:val="009B2EDD"/>
    <w:rsid w:val="009B3AA8"/>
    <w:rsid w:val="009C42C4"/>
    <w:rsid w:val="009C50BF"/>
    <w:rsid w:val="009D3EBB"/>
    <w:rsid w:val="009D4A7B"/>
    <w:rsid w:val="009D7CE6"/>
    <w:rsid w:val="009E6E57"/>
    <w:rsid w:val="009F6A75"/>
    <w:rsid w:val="009F7F50"/>
    <w:rsid w:val="00A0046B"/>
    <w:rsid w:val="00A00518"/>
    <w:rsid w:val="00A02513"/>
    <w:rsid w:val="00A049C3"/>
    <w:rsid w:val="00A052A1"/>
    <w:rsid w:val="00A13C82"/>
    <w:rsid w:val="00A15B4A"/>
    <w:rsid w:val="00A2115B"/>
    <w:rsid w:val="00A232B8"/>
    <w:rsid w:val="00A311B3"/>
    <w:rsid w:val="00A33940"/>
    <w:rsid w:val="00A340B5"/>
    <w:rsid w:val="00A357F0"/>
    <w:rsid w:val="00A37F57"/>
    <w:rsid w:val="00A4039F"/>
    <w:rsid w:val="00A40DD7"/>
    <w:rsid w:val="00A502B2"/>
    <w:rsid w:val="00A51216"/>
    <w:rsid w:val="00A535E0"/>
    <w:rsid w:val="00A56EAB"/>
    <w:rsid w:val="00A66673"/>
    <w:rsid w:val="00A66A06"/>
    <w:rsid w:val="00A673AD"/>
    <w:rsid w:val="00A71006"/>
    <w:rsid w:val="00A721E7"/>
    <w:rsid w:val="00A72A90"/>
    <w:rsid w:val="00A7437C"/>
    <w:rsid w:val="00A750D1"/>
    <w:rsid w:val="00A772C9"/>
    <w:rsid w:val="00A80F02"/>
    <w:rsid w:val="00A9190D"/>
    <w:rsid w:val="00A9212F"/>
    <w:rsid w:val="00A96635"/>
    <w:rsid w:val="00A96813"/>
    <w:rsid w:val="00AA671F"/>
    <w:rsid w:val="00AA73A5"/>
    <w:rsid w:val="00AB06FD"/>
    <w:rsid w:val="00AB6140"/>
    <w:rsid w:val="00AB715C"/>
    <w:rsid w:val="00AC4D90"/>
    <w:rsid w:val="00AC4DEF"/>
    <w:rsid w:val="00AC7134"/>
    <w:rsid w:val="00AC7E8A"/>
    <w:rsid w:val="00AD182A"/>
    <w:rsid w:val="00AD3DCB"/>
    <w:rsid w:val="00AE1CCD"/>
    <w:rsid w:val="00AE6090"/>
    <w:rsid w:val="00AF24A0"/>
    <w:rsid w:val="00AF38AE"/>
    <w:rsid w:val="00AF3FFF"/>
    <w:rsid w:val="00AF4C3A"/>
    <w:rsid w:val="00AF5D63"/>
    <w:rsid w:val="00B0673A"/>
    <w:rsid w:val="00B07218"/>
    <w:rsid w:val="00B108A2"/>
    <w:rsid w:val="00B10EF5"/>
    <w:rsid w:val="00B157F3"/>
    <w:rsid w:val="00B1599A"/>
    <w:rsid w:val="00B1600A"/>
    <w:rsid w:val="00B22638"/>
    <w:rsid w:val="00B241E2"/>
    <w:rsid w:val="00B335E3"/>
    <w:rsid w:val="00B3604E"/>
    <w:rsid w:val="00B40BD6"/>
    <w:rsid w:val="00B41B14"/>
    <w:rsid w:val="00B432E9"/>
    <w:rsid w:val="00B43D27"/>
    <w:rsid w:val="00B461A7"/>
    <w:rsid w:val="00B51D86"/>
    <w:rsid w:val="00B62FE2"/>
    <w:rsid w:val="00B70F93"/>
    <w:rsid w:val="00B81FA3"/>
    <w:rsid w:val="00B82DD8"/>
    <w:rsid w:val="00B85E4F"/>
    <w:rsid w:val="00B90645"/>
    <w:rsid w:val="00B934BF"/>
    <w:rsid w:val="00B93669"/>
    <w:rsid w:val="00BA3209"/>
    <w:rsid w:val="00BA3C86"/>
    <w:rsid w:val="00BB4374"/>
    <w:rsid w:val="00BB4DF0"/>
    <w:rsid w:val="00BD2E81"/>
    <w:rsid w:val="00BD3BA6"/>
    <w:rsid w:val="00BD4202"/>
    <w:rsid w:val="00BE3662"/>
    <w:rsid w:val="00BE39EF"/>
    <w:rsid w:val="00BE5338"/>
    <w:rsid w:val="00BF0BDF"/>
    <w:rsid w:val="00BF3C45"/>
    <w:rsid w:val="00BF4DF5"/>
    <w:rsid w:val="00BF56C0"/>
    <w:rsid w:val="00BF7315"/>
    <w:rsid w:val="00C06398"/>
    <w:rsid w:val="00C10906"/>
    <w:rsid w:val="00C12CA8"/>
    <w:rsid w:val="00C16E09"/>
    <w:rsid w:val="00C238E7"/>
    <w:rsid w:val="00C24987"/>
    <w:rsid w:val="00C30C70"/>
    <w:rsid w:val="00C31440"/>
    <w:rsid w:val="00C37804"/>
    <w:rsid w:val="00C4016A"/>
    <w:rsid w:val="00C41047"/>
    <w:rsid w:val="00C6272F"/>
    <w:rsid w:val="00C63541"/>
    <w:rsid w:val="00C75FA2"/>
    <w:rsid w:val="00C76C49"/>
    <w:rsid w:val="00C86B2B"/>
    <w:rsid w:val="00C86C0B"/>
    <w:rsid w:val="00C87B9E"/>
    <w:rsid w:val="00C92B9A"/>
    <w:rsid w:val="00C9300F"/>
    <w:rsid w:val="00C96336"/>
    <w:rsid w:val="00CA3A2F"/>
    <w:rsid w:val="00CA4314"/>
    <w:rsid w:val="00CA4F84"/>
    <w:rsid w:val="00CB1E06"/>
    <w:rsid w:val="00CB5966"/>
    <w:rsid w:val="00CC631C"/>
    <w:rsid w:val="00CC693E"/>
    <w:rsid w:val="00CD071D"/>
    <w:rsid w:val="00CD3EFD"/>
    <w:rsid w:val="00CE010E"/>
    <w:rsid w:val="00CE6CEA"/>
    <w:rsid w:val="00CF6D06"/>
    <w:rsid w:val="00D00DD5"/>
    <w:rsid w:val="00D04B7C"/>
    <w:rsid w:val="00D053C8"/>
    <w:rsid w:val="00D06810"/>
    <w:rsid w:val="00D07EB1"/>
    <w:rsid w:val="00D111E9"/>
    <w:rsid w:val="00D11706"/>
    <w:rsid w:val="00D121A4"/>
    <w:rsid w:val="00D202C6"/>
    <w:rsid w:val="00D22765"/>
    <w:rsid w:val="00D25099"/>
    <w:rsid w:val="00D3341A"/>
    <w:rsid w:val="00D37F6C"/>
    <w:rsid w:val="00D42AE1"/>
    <w:rsid w:val="00D5527D"/>
    <w:rsid w:val="00D612C5"/>
    <w:rsid w:val="00D663C8"/>
    <w:rsid w:val="00D66860"/>
    <w:rsid w:val="00D731D1"/>
    <w:rsid w:val="00D73352"/>
    <w:rsid w:val="00D73B9A"/>
    <w:rsid w:val="00D7429C"/>
    <w:rsid w:val="00D820A8"/>
    <w:rsid w:val="00D839E4"/>
    <w:rsid w:val="00D8688B"/>
    <w:rsid w:val="00D9102A"/>
    <w:rsid w:val="00D937AA"/>
    <w:rsid w:val="00D9483C"/>
    <w:rsid w:val="00D9629B"/>
    <w:rsid w:val="00DA4D93"/>
    <w:rsid w:val="00DA5025"/>
    <w:rsid w:val="00DC5FEC"/>
    <w:rsid w:val="00DD11A0"/>
    <w:rsid w:val="00DD2D00"/>
    <w:rsid w:val="00DE00C8"/>
    <w:rsid w:val="00DE0B41"/>
    <w:rsid w:val="00DE1EA7"/>
    <w:rsid w:val="00DE2DE2"/>
    <w:rsid w:val="00DE42FE"/>
    <w:rsid w:val="00DE51E2"/>
    <w:rsid w:val="00DE5497"/>
    <w:rsid w:val="00E10432"/>
    <w:rsid w:val="00E30363"/>
    <w:rsid w:val="00E311E7"/>
    <w:rsid w:val="00E40481"/>
    <w:rsid w:val="00E51128"/>
    <w:rsid w:val="00E534CE"/>
    <w:rsid w:val="00E55A19"/>
    <w:rsid w:val="00E62698"/>
    <w:rsid w:val="00E63ECD"/>
    <w:rsid w:val="00E672A9"/>
    <w:rsid w:val="00E675F5"/>
    <w:rsid w:val="00E67ED6"/>
    <w:rsid w:val="00E73001"/>
    <w:rsid w:val="00E748DF"/>
    <w:rsid w:val="00E74C21"/>
    <w:rsid w:val="00E755ED"/>
    <w:rsid w:val="00E81247"/>
    <w:rsid w:val="00E84D26"/>
    <w:rsid w:val="00E86D4B"/>
    <w:rsid w:val="00E902D9"/>
    <w:rsid w:val="00E91AC5"/>
    <w:rsid w:val="00E937C1"/>
    <w:rsid w:val="00E9440C"/>
    <w:rsid w:val="00E95E45"/>
    <w:rsid w:val="00EA0AC1"/>
    <w:rsid w:val="00EA7360"/>
    <w:rsid w:val="00EA79FA"/>
    <w:rsid w:val="00EB134C"/>
    <w:rsid w:val="00EB550F"/>
    <w:rsid w:val="00EB5B4E"/>
    <w:rsid w:val="00EC3FA4"/>
    <w:rsid w:val="00EC7B7E"/>
    <w:rsid w:val="00ED0B5F"/>
    <w:rsid w:val="00ED0F36"/>
    <w:rsid w:val="00EE113D"/>
    <w:rsid w:val="00EE482E"/>
    <w:rsid w:val="00EE4907"/>
    <w:rsid w:val="00EE5CF0"/>
    <w:rsid w:val="00F027C8"/>
    <w:rsid w:val="00F06095"/>
    <w:rsid w:val="00F076DA"/>
    <w:rsid w:val="00F10619"/>
    <w:rsid w:val="00F11171"/>
    <w:rsid w:val="00F14FB5"/>
    <w:rsid w:val="00F15BBC"/>
    <w:rsid w:val="00F15C2A"/>
    <w:rsid w:val="00F17DC7"/>
    <w:rsid w:val="00F25257"/>
    <w:rsid w:val="00F25BA9"/>
    <w:rsid w:val="00F411AF"/>
    <w:rsid w:val="00F42633"/>
    <w:rsid w:val="00F52306"/>
    <w:rsid w:val="00F561EE"/>
    <w:rsid w:val="00F57855"/>
    <w:rsid w:val="00F75BE1"/>
    <w:rsid w:val="00F82B33"/>
    <w:rsid w:val="00F85E11"/>
    <w:rsid w:val="00F9799E"/>
    <w:rsid w:val="00FA4EDC"/>
    <w:rsid w:val="00FA7548"/>
    <w:rsid w:val="00FA7968"/>
    <w:rsid w:val="00FB1C8B"/>
    <w:rsid w:val="00FB31C7"/>
    <w:rsid w:val="00FB698C"/>
    <w:rsid w:val="00FD123E"/>
    <w:rsid w:val="00FD4F4A"/>
    <w:rsid w:val="00FD6A30"/>
    <w:rsid w:val="00FE667C"/>
    <w:rsid w:val="00FF206D"/>
    <w:rsid w:val="00FF25A3"/>
    <w:rsid w:val="00FF696C"/>
    <w:rsid w:val="00FF73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6CA0"/>
  <w15:docId w15:val="{58163343-87CE-4797-9305-01E4ADE5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15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15A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D26"/>
    <w:pPr>
      <w:ind w:left="720"/>
      <w:contextualSpacing/>
    </w:pPr>
  </w:style>
  <w:style w:type="character" w:styleId="CommentReference">
    <w:name w:val="annotation reference"/>
    <w:basedOn w:val="DefaultParagraphFont"/>
    <w:uiPriority w:val="99"/>
    <w:semiHidden/>
    <w:unhideWhenUsed/>
    <w:rsid w:val="00EE5CF0"/>
    <w:rPr>
      <w:sz w:val="16"/>
      <w:szCs w:val="16"/>
    </w:rPr>
  </w:style>
  <w:style w:type="paragraph" w:styleId="CommentText">
    <w:name w:val="annotation text"/>
    <w:basedOn w:val="Normal"/>
    <w:link w:val="CommentTextChar"/>
    <w:uiPriority w:val="99"/>
    <w:semiHidden/>
    <w:unhideWhenUsed/>
    <w:rsid w:val="00EE5CF0"/>
    <w:pPr>
      <w:spacing w:line="240" w:lineRule="auto"/>
    </w:pPr>
    <w:rPr>
      <w:sz w:val="20"/>
      <w:szCs w:val="20"/>
    </w:rPr>
  </w:style>
  <w:style w:type="character" w:customStyle="1" w:styleId="CommentTextChar">
    <w:name w:val="Comment Text Char"/>
    <w:basedOn w:val="DefaultParagraphFont"/>
    <w:link w:val="CommentText"/>
    <w:uiPriority w:val="99"/>
    <w:semiHidden/>
    <w:rsid w:val="00EE5CF0"/>
    <w:rPr>
      <w:sz w:val="20"/>
      <w:szCs w:val="20"/>
    </w:rPr>
  </w:style>
  <w:style w:type="paragraph" w:styleId="CommentSubject">
    <w:name w:val="annotation subject"/>
    <w:basedOn w:val="CommentText"/>
    <w:next w:val="CommentText"/>
    <w:link w:val="CommentSubjectChar"/>
    <w:uiPriority w:val="99"/>
    <w:semiHidden/>
    <w:unhideWhenUsed/>
    <w:rsid w:val="00EE5CF0"/>
    <w:rPr>
      <w:b/>
      <w:bCs/>
    </w:rPr>
  </w:style>
  <w:style w:type="character" w:customStyle="1" w:styleId="CommentSubjectChar">
    <w:name w:val="Comment Subject Char"/>
    <w:basedOn w:val="CommentTextChar"/>
    <w:link w:val="CommentSubject"/>
    <w:uiPriority w:val="99"/>
    <w:semiHidden/>
    <w:rsid w:val="00EE5CF0"/>
    <w:rPr>
      <w:b/>
      <w:bCs/>
      <w:sz w:val="20"/>
      <w:szCs w:val="20"/>
    </w:rPr>
  </w:style>
  <w:style w:type="paragraph" w:styleId="BalloonText">
    <w:name w:val="Balloon Text"/>
    <w:basedOn w:val="Normal"/>
    <w:link w:val="BalloonTextChar"/>
    <w:uiPriority w:val="99"/>
    <w:semiHidden/>
    <w:unhideWhenUsed/>
    <w:rsid w:val="00EE5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F0"/>
    <w:rPr>
      <w:rFonts w:ascii="Tahoma" w:hAnsi="Tahoma" w:cs="Tahoma"/>
      <w:sz w:val="16"/>
      <w:szCs w:val="16"/>
    </w:rPr>
  </w:style>
  <w:style w:type="character" w:styleId="Hyperlink">
    <w:name w:val="Hyperlink"/>
    <w:basedOn w:val="DefaultParagraphFont"/>
    <w:uiPriority w:val="99"/>
    <w:unhideWhenUsed/>
    <w:rsid w:val="00CC693E"/>
    <w:rPr>
      <w:color w:val="0000FF" w:themeColor="hyperlink"/>
      <w:u w:val="single"/>
    </w:rPr>
  </w:style>
  <w:style w:type="character" w:styleId="HTMLCite">
    <w:name w:val="HTML Cite"/>
    <w:basedOn w:val="DefaultParagraphFont"/>
    <w:uiPriority w:val="99"/>
    <w:semiHidden/>
    <w:unhideWhenUsed/>
    <w:rsid w:val="00CC693E"/>
    <w:rPr>
      <w:i w:val="0"/>
      <w:iCs w:val="0"/>
      <w:color w:val="009933"/>
    </w:rPr>
  </w:style>
  <w:style w:type="character" w:styleId="FootnoteReference">
    <w:name w:val="footnote reference"/>
    <w:aliases w:val="SUPERS,Ref,de nota al pie,(NECG) Footnote Reference"/>
    <w:rsid w:val="00F10619"/>
    <w:rPr>
      <w:vertAlign w:val="superscript"/>
    </w:rPr>
  </w:style>
  <w:style w:type="paragraph" w:styleId="FootnoteText">
    <w:name w:val="footnote text"/>
    <w:aliases w:val="Footnote Text Riaan,DTE-Voetnoottekst,DTE-Voetnoottekst Char,fn,footnote text,Footnotes,Footnote ak,Footnote,Fußnotentextf"/>
    <w:basedOn w:val="Normal"/>
    <w:link w:val="FootnoteTextChar"/>
    <w:qFormat/>
    <w:rsid w:val="00F10619"/>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Text Riaan Char,DTE-Voetnoottekst Char1,DTE-Voetnoottekst Char Char,fn Char,footnote text Char,Footnotes Char,Footnote ak Char,Footnote Char,Fußnotentextf Char"/>
    <w:basedOn w:val="DefaultParagraphFont"/>
    <w:link w:val="FootnoteText"/>
    <w:rsid w:val="00F10619"/>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unhideWhenUsed/>
    <w:rsid w:val="00D04B7C"/>
    <w:pPr>
      <w:spacing w:after="0" w:line="240" w:lineRule="auto"/>
    </w:pPr>
    <w:rPr>
      <w:rFonts w:ascii="Times New Roman" w:eastAsia="Times New Roman" w:hAnsi="Times New Roman" w:cs="Times New Roman"/>
      <w:sz w:val="24"/>
      <w:szCs w:val="24"/>
      <w:lang w:val="af-ZA"/>
    </w:rPr>
  </w:style>
  <w:style w:type="paragraph" w:styleId="Header">
    <w:name w:val="header"/>
    <w:basedOn w:val="Normal"/>
    <w:link w:val="HeaderChar"/>
    <w:uiPriority w:val="99"/>
    <w:unhideWhenUsed/>
    <w:rsid w:val="00071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1BE"/>
  </w:style>
  <w:style w:type="paragraph" w:styleId="Footer">
    <w:name w:val="footer"/>
    <w:basedOn w:val="Normal"/>
    <w:link w:val="FooterChar"/>
    <w:uiPriority w:val="99"/>
    <w:unhideWhenUsed/>
    <w:rsid w:val="00071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1BE"/>
  </w:style>
  <w:style w:type="paragraph" w:styleId="Revision">
    <w:name w:val="Revision"/>
    <w:hidden/>
    <w:uiPriority w:val="99"/>
    <w:semiHidden/>
    <w:rsid w:val="005C5BF4"/>
    <w:pPr>
      <w:spacing w:after="0" w:line="240" w:lineRule="auto"/>
    </w:pPr>
  </w:style>
  <w:style w:type="paragraph" w:styleId="EndnoteText">
    <w:name w:val="endnote text"/>
    <w:basedOn w:val="Normal"/>
    <w:link w:val="EndnoteTextChar"/>
    <w:uiPriority w:val="99"/>
    <w:semiHidden/>
    <w:unhideWhenUsed/>
    <w:rsid w:val="006956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56FD"/>
    <w:rPr>
      <w:sz w:val="20"/>
      <w:szCs w:val="20"/>
    </w:rPr>
  </w:style>
  <w:style w:type="character" w:styleId="EndnoteReference">
    <w:name w:val="endnote reference"/>
    <w:basedOn w:val="DefaultParagraphFont"/>
    <w:uiPriority w:val="99"/>
    <w:semiHidden/>
    <w:unhideWhenUsed/>
    <w:rsid w:val="006956FD"/>
    <w:rPr>
      <w:vertAlign w:val="superscript"/>
    </w:rPr>
  </w:style>
  <w:style w:type="character" w:customStyle="1" w:styleId="apple-converted-space">
    <w:name w:val="apple-converted-space"/>
    <w:basedOn w:val="DefaultParagraphFont"/>
    <w:rsid w:val="000578E3"/>
  </w:style>
  <w:style w:type="character" w:customStyle="1" w:styleId="Heading1Char">
    <w:name w:val="Heading 1 Char"/>
    <w:basedOn w:val="DefaultParagraphFont"/>
    <w:link w:val="Heading1"/>
    <w:uiPriority w:val="9"/>
    <w:rsid w:val="004A15EC"/>
    <w:rPr>
      <w:rFonts w:asciiTheme="majorHAnsi" w:eastAsiaTheme="majorEastAsia" w:hAnsiTheme="majorHAnsi" w:cstheme="majorBidi"/>
      <w:color w:val="365F91" w:themeColor="accent1" w:themeShade="BF"/>
      <w:sz w:val="32"/>
      <w:szCs w:val="32"/>
    </w:rPr>
  </w:style>
  <w:style w:type="character" w:customStyle="1" w:styleId="oecd-shared-footercopyright-first">
    <w:name w:val="oecd-shared-footer__copyright-first"/>
    <w:basedOn w:val="DefaultParagraphFont"/>
    <w:rsid w:val="0019332E"/>
  </w:style>
  <w:style w:type="character" w:customStyle="1" w:styleId="oecd-shared-footercopyright-second">
    <w:name w:val="oecd-shared-footer__copyright-second"/>
    <w:basedOn w:val="DefaultParagraphFont"/>
    <w:rsid w:val="0019332E"/>
  </w:style>
  <w:style w:type="character" w:customStyle="1" w:styleId="Heading2Char">
    <w:name w:val="Heading 2 Char"/>
    <w:basedOn w:val="DefaultParagraphFont"/>
    <w:link w:val="Heading2"/>
    <w:uiPriority w:val="9"/>
    <w:semiHidden/>
    <w:rsid w:val="00115A9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9057">
      <w:bodyDiv w:val="1"/>
      <w:marLeft w:val="0"/>
      <w:marRight w:val="0"/>
      <w:marTop w:val="0"/>
      <w:marBottom w:val="0"/>
      <w:divBdr>
        <w:top w:val="none" w:sz="0" w:space="0" w:color="auto"/>
        <w:left w:val="none" w:sz="0" w:space="0" w:color="auto"/>
        <w:bottom w:val="none" w:sz="0" w:space="0" w:color="auto"/>
        <w:right w:val="none" w:sz="0" w:space="0" w:color="auto"/>
      </w:divBdr>
    </w:div>
    <w:div w:id="338853445">
      <w:bodyDiv w:val="1"/>
      <w:marLeft w:val="0"/>
      <w:marRight w:val="0"/>
      <w:marTop w:val="0"/>
      <w:marBottom w:val="0"/>
      <w:divBdr>
        <w:top w:val="none" w:sz="0" w:space="0" w:color="auto"/>
        <w:left w:val="none" w:sz="0" w:space="0" w:color="auto"/>
        <w:bottom w:val="none" w:sz="0" w:space="0" w:color="auto"/>
        <w:right w:val="none" w:sz="0" w:space="0" w:color="auto"/>
      </w:divBdr>
    </w:div>
    <w:div w:id="348260899">
      <w:bodyDiv w:val="1"/>
      <w:marLeft w:val="0"/>
      <w:marRight w:val="0"/>
      <w:marTop w:val="0"/>
      <w:marBottom w:val="0"/>
      <w:divBdr>
        <w:top w:val="none" w:sz="0" w:space="0" w:color="auto"/>
        <w:left w:val="none" w:sz="0" w:space="0" w:color="auto"/>
        <w:bottom w:val="none" w:sz="0" w:space="0" w:color="auto"/>
        <w:right w:val="none" w:sz="0" w:space="0" w:color="auto"/>
      </w:divBdr>
    </w:div>
    <w:div w:id="855967053">
      <w:bodyDiv w:val="1"/>
      <w:marLeft w:val="0"/>
      <w:marRight w:val="0"/>
      <w:marTop w:val="0"/>
      <w:marBottom w:val="0"/>
      <w:divBdr>
        <w:top w:val="none" w:sz="0" w:space="0" w:color="auto"/>
        <w:left w:val="none" w:sz="0" w:space="0" w:color="auto"/>
        <w:bottom w:val="none" w:sz="0" w:space="0" w:color="auto"/>
        <w:right w:val="none" w:sz="0" w:space="0" w:color="auto"/>
      </w:divBdr>
    </w:div>
    <w:div w:id="903493735">
      <w:bodyDiv w:val="1"/>
      <w:marLeft w:val="0"/>
      <w:marRight w:val="0"/>
      <w:marTop w:val="0"/>
      <w:marBottom w:val="0"/>
      <w:divBdr>
        <w:top w:val="none" w:sz="0" w:space="0" w:color="auto"/>
        <w:left w:val="none" w:sz="0" w:space="0" w:color="auto"/>
        <w:bottom w:val="none" w:sz="0" w:space="0" w:color="auto"/>
        <w:right w:val="none" w:sz="0" w:space="0" w:color="auto"/>
      </w:divBdr>
    </w:div>
    <w:div w:id="1574663127">
      <w:bodyDiv w:val="1"/>
      <w:marLeft w:val="0"/>
      <w:marRight w:val="0"/>
      <w:marTop w:val="0"/>
      <w:marBottom w:val="0"/>
      <w:divBdr>
        <w:top w:val="none" w:sz="0" w:space="0" w:color="auto"/>
        <w:left w:val="none" w:sz="0" w:space="0" w:color="auto"/>
        <w:bottom w:val="none" w:sz="0" w:space="0" w:color="auto"/>
        <w:right w:val="none" w:sz="0" w:space="0" w:color="auto"/>
      </w:divBdr>
    </w:div>
    <w:div w:id="1665355716">
      <w:bodyDiv w:val="1"/>
      <w:marLeft w:val="0"/>
      <w:marRight w:val="0"/>
      <w:marTop w:val="0"/>
      <w:marBottom w:val="0"/>
      <w:divBdr>
        <w:top w:val="none" w:sz="0" w:space="0" w:color="auto"/>
        <w:left w:val="none" w:sz="0" w:space="0" w:color="auto"/>
        <w:bottom w:val="none" w:sz="0" w:space="0" w:color="auto"/>
        <w:right w:val="none" w:sz="0" w:space="0" w:color="auto"/>
      </w:divBdr>
    </w:div>
    <w:div w:id="183796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lac.org/discussions/article/7426-sadc-trade-in-services-negotiations%20-and-the-development-of-sector-specific-annexes.html" TargetMode="External"/><Relationship Id="rId13" Type="http://schemas.openxmlformats.org/officeDocument/2006/relationships/hyperlink" Target="http://siteresources.worldbank.org/INTRANETTRADE/Resources%20/239054-1248204247129/%20Negotiating_Trade_in_Servic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s.resbank.co.za/webindicators/EconFinDataForSA.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to.org/english/tratop_e/devel_e/a4t_e/%20a4tworshop171016_e.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orldbank.org/en/news/feature/2016/08/04/africas-unexplored-potential%20-of-trade-in-services" TargetMode="External"/><Relationship Id="rId4" Type="http://schemas.openxmlformats.org/officeDocument/2006/relationships/settings" Target="settings.xml"/><Relationship Id="rId9" Type="http://schemas.openxmlformats.org/officeDocument/2006/relationships/hyperlink" Target="http://www.tradeready.ca/2016/trade-takeaways/service-exports-suddenly-important/" TargetMode="External"/><Relationship Id="rId14" Type="http://schemas.openxmlformats.org/officeDocument/2006/relationships/hyperlink" Target="https://www.wto.org/english/tratop_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7DF62-AA62-462B-B05D-26DEAEAC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2894</Words>
  <Characters>16498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North-West University</Company>
  <LinksUpToDate>false</LinksUpToDate>
  <CharactersWithSpaces>19354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12306797</dc:creator>
  <cp:lastModifiedBy>NWUUSER</cp:lastModifiedBy>
  <cp:revision>2</cp:revision>
  <cp:lastPrinted>2017-03-04T12:28:00Z</cp:lastPrinted>
  <dcterms:created xsi:type="dcterms:W3CDTF">2017-03-06T11:32:00Z</dcterms:created>
  <dcterms:modified xsi:type="dcterms:W3CDTF">2017-03-06T11:32:00Z</dcterms:modified>
</cp:coreProperties>
</file>