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B8" w:rsidRPr="002A0E7D" w:rsidRDefault="007318B8" w:rsidP="005819C3">
      <w:pPr>
        <w:spacing w:after="0"/>
        <w:rPr>
          <w:rFonts w:ascii="Times New Roman" w:hAnsi="Times New Roman" w:cs="Times New Roman"/>
          <w:b/>
          <w:sz w:val="24"/>
          <w:lang w:val="en-US"/>
        </w:rPr>
      </w:pPr>
      <w:r w:rsidRPr="002A0E7D">
        <w:rPr>
          <w:rFonts w:ascii="Times New Roman" w:hAnsi="Times New Roman" w:cs="Times New Roman"/>
          <w:b/>
          <w:sz w:val="24"/>
          <w:lang w:val="en-US"/>
        </w:rPr>
        <w:t>FIFTH GLOBAL REVIEW OF AID FOR TRADE</w:t>
      </w:r>
    </w:p>
    <w:p w:rsidR="007318B8" w:rsidRPr="002A0E7D" w:rsidRDefault="007318B8" w:rsidP="005819C3">
      <w:pPr>
        <w:spacing w:after="0"/>
        <w:rPr>
          <w:rFonts w:ascii="Times New Roman" w:hAnsi="Times New Roman" w:cs="Times New Roman"/>
          <w:b/>
          <w:sz w:val="24"/>
          <w:lang w:val="en-US"/>
        </w:rPr>
      </w:pPr>
      <w:r w:rsidRPr="002A0E7D">
        <w:rPr>
          <w:rFonts w:ascii="Times New Roman" w:hAnsi="Times New Roman" w:cs="Times New Roman"/>
          <w:b/>
          <w:sz w:val="24"/>
          <w:lang w:val="en-US"/>
        </w:rPr>
        <w:t>GENEVA, 30 June – 02 JULY 2015</w:t>
      </w:r>
    </w:p>
    <w:p w:rsidR="007318B8" w:rsidRPr="002A0E7D" w:rsidRDefault="00477F47" w:rsidP="005819C3">
      <w:pPr>
        <w:pBdr>
          <w:bottom w:val="single" w:sz="4" w:space="1" w:color="auto"/>
        </w:pBdr>
        <w:spacing w:after="0"/>
        <w:rPr>
          <w:rFonts w:ascii="Times New Roman" w:hAnsi="Times New Roman" w:cs="Times New Roman"/>
          <w:b/>
          <w:sz w:val="28"/>
          <w:lang w:val="en-US"/>
        </w:rPr>
      </w:pPr>
      <w:r w:rsidRPr="002A0E7D">
        <w:rPr>
          <w:rFonts w:ascii="Times New Roman" w:hAnsi="Times New Roman" w:cs="Times New Roman"/>
          <w:b/>
          <w:sz w:val="24"/>
          <w:lang w:val="en-US"/>
        </w:rPr>
        <w:t>Theme: Reducing Trade Costs for Inclusive, Sustainable Growth</w:t>
      </w:r>
    </w:p>
    <w:p w:rsidR="00477F47" w:rsidRPr="005A5985" w:rsidRDefault="00B500FC" w:rsidP="00E61D8B">
      <w:pPr>
        <w:jc w:val="center"/>
        <w:rPr>
          <w:rFonts w:ascii="Times New Roman" w:hAnsi="Times New Roman" w:cs="Times New Roman"/>
          <w:b/>
          <w:sz w:val="28"/>
        </w:rPr>
      </w:pPr>
      <w:r w:rsidRPr="005A5985">
        <w:rPr>
          <w:rFonts w:ascii="Times New Roman" w:hAnsi="Times New Roman" w:cs="Times New Roman"/>
          <w:b/>
          <w:sz w:val="28"/>
        </w:rPr>
        <w:t xml:space="preserve">Subvention du MCA et </w:t>
      </w:r>
      <w:r w:rsidR="00AC11B4" w:rsidRPr="005A5985">
        <w:rPr>
          <w:rFonts w:ascii="Times New Roman" w:hAnsi="Times New Roman" w:cs="Times New Roman"/>
          <w:b/>
          <w:sz w:val="28"/>
        </w:rPr>
        <w:t>R</w:t>
      </w:r>
      <w:r w:rsidR="00EF2719" w:rsidRPr="005A5985">
        <w:rPr>
          <w:rFonts w:ascii="Times New Roman" w:hAnsi="Times New Roman" w:cs="Times New Roman"/>
          <w:b/>
          <w:sz w:val="28"/>
        </w:rPr>
        <w:t xml:space="preserve">éformes </w:t>
      </w:r>
      <w:r w:rsidR="00DC37C1" w:rsidRPr="005A5985">
        <w:rPr>
          <w:rFonts w:ascii="Times New Roman" w:hAnsi="Times New Roman" w:cs="Times New Roman"/>
          <w:b/>
          <w:sz w:val="28"/>
        </w:rPr>
        <w:t>P</w:t>
      </w:r>
      <w:r w:rsidR="00EF2719" w:rsidRPr="005A5985">
        <w:rPr>
          <w:rFonts w:ascii="Times New Roman" w:hAnsi="Times New Roman" w:cs="Times New Roman"/>
          <w:b/>
          <w:sz w:val="28"/>
        </w:rPr>
        <w:t xml:space="preserve">ortuaires au Bénin : une </w:t>
      </w:r>
      <w:r w:rsidR="00DC37C1" w:rsidRPr="005A5985">
        <w:rPr>
          <w:rFonts w:ascii="Times New Roman" w:hAnsi="Times New Roman" w:cs="Times New Roman"/>
          <w:b/>
          <w:sz w:val="28"/>
        </w:rPr>
        <w:t>A</w:t>
      </w:r>
      <w:r w:rsidR="00EF2719" w:rsidRPr="005A5985">
        <w:rPr>
          <w:rFonts w:ascii="Times New Roman" w:hAnsi="Times New Roman" w:cs="Times New Roman"/>
          <w:b/>
          <w:sz w:val="28"/>
        </w:rPr>
        <w:t xml:space="preserve">nalyse des </w:t>
      </w:r>
      <w:r w:rsidR="00DC37C1" w:rsidRPr="005A5985">
        <w:rPr>
          <w:rFonts w:ascii="Times New Roman" w:hAnsi="Times New Roman" w:cs="Times New Roman"/>
          <w:b/>
          <w:sz w:val="28"/>
        </w:rPr>
        <w:t>E</w:t>
      </w:r>
      <w:r w:rsidR="00EF2719" w:rsidRPr="005A5985">
        <w:rPr>
          <w:rFonts w:ascii="Times New Roman" w:hAnsi="Times New Roman" w:cs="Times New Roman"/>
          <w:b/>
          <w:sz w:val="28"/>
        </w:rPr>
        <w:t xml:space="preserve">ffets de </w:t>
      </w:r>
      <w:r w:rsidR="00DC37C1" w:rsidRPr="005A5985">
        <w:rPr>
          <w:rFonts w:ascii="Times New Roman" w:hAnsi="Times New Roman" w:cs="Times New Roman"/>
          <w:b/>
          <w:sz w:val="28"/>
        </w:rPr>
        <w:t>F</w:t>
      </w:r>
      <w:r w:rsidR="00EF2719" w:rsidRPr="005A5985">
        <w:rPr>
          <w:rFonts w:ascii="Times New Roman" w:hAnsi="Times New Roman" w:cs="Times New Roman"/>
          <w:b/>
          <w:sz w:val="28"/>
        </w:rPr>
        <w:t xml:space="preserve">acilitation des </w:t>
      </w:r>
      <w:r w:rsidR="00DC37C1" w:rsidRPr="005A5985">
        <w:rPr>
          <w:rFonts w:ascii="Times New Roman" w:hAnsi="Times New Roman" w:cs="Times New Roman"/>
          <w:b/>
          <w:sz w:val="28"/>
        </w:rPr>
        <w:t>E</w:t>
      </w:r>
      <w:r w:rsidR="00EF2719" w:rsidRPr="005A5985">
        <w:rPr>
          <w:rFonts w:ascii="Times New Roman" w:hAnsi="Times New Roman" w:cs="Times New Roman"/>
          <w:b/>
          <w:sz w:val="28"/>
        </w:rPr>
        <w:t>changes</w:t>
      </w:r>
      <w:r w:rsidRPr="005A5985">
        <w:rPr>
          <w:rFonts w:ascii="Times New Roman" w:hAnsi="Times New Roman" w:cs="Times New Roman"/>
          <w:b/>
          <w:sz w:val="28"/>
        </w:rPr>
        <w:t>.</w:t>
      </w:r>
    </w:p>
    <w:p w:rsidR="002A0E7D" w:rsidRPr="005A5985" w:rsidRDefault="005819C3" w:rsidP="005819C3">
      <w:pPr>
        <w:spacing w:after="0" w:line="240" w:lineRule="auto"/>
        <w:jc w:val="center"/>
        <w:rPr>
          <w:rFonts w:ascii="Times New Roman" w:hAnsi="Times New Roman" w:cs="Times New Roman"/>
          <w:i/>
        </w:rPr>
      </w:pPr>
      <w:r w:rsidRPr="005A5985">
        <w:rPr>
          <w:rFonts w:ascii="Times New Roman" w:hAnsi="Times New Roman" w:cs="Times New Roman"/>
          <w:i/>
        </w:rPr>
        <w:t>Fulbert</w:t>
      </w:r>
      <w:r w:rsidR="003428ED" w:rsidRPr="005A5985">
        <w:rPr>
          <w:rFonts w:ascii="Times New Roman" w:hAnsi="Times New Roman" w:cs="Times New Roman"/>
          <w:i/>
        </w:rPr>
        <w:t xml:space="preserve"> </w:t>
      </w:r>
      <w:proofErr w:type="spellStart"/>
      <w:r w:rsidR="003428ED" w:rsidRPr="005A5985">
        <w:rPr>
          <w:rFonts w:ascii="Times New Roman" w:hAnsi="Times New Roman" w:cs="Times New Roman"/>
          <w:i/>
        </w:rPr>
        <w:t>Amoussouga</w:t>
      </w:r>
      <w:proofErr w:type="spellEnd"/>
      <w:r w:rsidR="008767E7" w:rsidRPr="005A5985">
        <w:rPr>
          <w:rFonts w:ascii="Times New Roman" w:hAnsi="Times New Roman" w:cs="Times New Roman"/>
          <w:i/>
        </w:rPr>
        <w:t xml:space="preserve"> </w:t>
      </w:r>
      <w:proofErr w:type="spellStart"/>
      <w:r w:rsidR="008767E7" w:rsidRPr="005A5985">
        <w:rPr>
          <w:rFonts w:ascii="Times New Roman" w:hAnsi="Times New Roman" w:cs="Times New Roman"/>
          <w:i/>
        </w:rPr>
        <w:t>Géro</w:t>
      </w:r>
      <w:proofErr w:type="spellEnd"/>
      <w:r w:rsidR="003428ED" w:rsidRPr="005A5985">
        <w:rPr>
          <w:rFonts w:ascii="Times New Roman" w:hAnsi="Times New Roman" w:cs="Times New Roman"/>
          <w:i/>
        </w:rPr>
        <w:t xml:space="preserve"> </w:t>
      </w:r>
      <w:r w:rsidRPr="005A5985">
        <w:rPr>
          <w:rFonts w:ascii="Times New Roman" w:hAnsi="Times New Roman" w:cs="Times New Roman"/>
          <w:i/>
        </w:rPr>
        <w:t xml:space="preserve">*, </w:t>
      </w:r>
      <w:proofErr w:type="spellStart"/>
      <w:r w:rsidRPr="005A5985">
        <w:rPr>
          <w:rFonts w:ascii="Times New Roman" w:hAnsi="Times New Roman" w:cs="Times New Roman"/>
          <w:i/>
        </w:rPr>
        <w:t>Alastaire</w:t>
      </w:r>
      <w:proofErr w:type="spellEnd"/>
      <w:r w:rsidR="003428ED" w:rsidRPr="005A5985">
        <w:rPr>
          <w:rFonts w:ascii="Times New Roman" w:hAnsi="Times New Roman" w:cs="Times New Roman"/>
          <w:i/>
        </w:rPr>
        <w:t xml:space="preserve"> S. </w:t>
      </w:r>
      <w:proofErr w:type="spellStart"/>
      <w:r w:rsidR="003428ED" w:rsidRPr="005A5985">
        <w:rPr>
          <w:rFonts w:ascii="Times New Roman" w:hAnsi="Times New Roman" w:cs="Times New Roman"/>
          <w:i/>
        </w:rPr>
        <w:t>Alinsato</w:t>
      </w:r>
      <w:proofErr w:type="spellEnd"/>
      <w:r w:rsidRPr="005A5985">
        <w:rPr>
          <w:rFonts w:ascii="Times New Roman" w:hAnsi="Times New Roman" w:cs="Times New Roman"/>
          <w:i/>
        </w:rPr>
        <w:t xml:space="preserve">**, </w:t>
      </w:r>
      <w:r w:rsidR="003428ED" w:rsidRPr="005A5985">
        <w:rPr>
          <w:rFonts w:ascii="Times New Roman" w:hAnsi="Times New Roman" w:cs="Times New Roman"/>
          <w:i/>
        </w:rPr>
        <w:t xml:space="preserve">Alain L. </w:t>
      </w:r>
      <w:proofErr w:type="spellStart"/>
      <w:r w:rsidR="003428ED" w:rsidRPr="005A5985">
        <w:rPr>
          <w:rFonts w:ascii="Times New Roman" w:hAnsi="Times New Roman" w:cs="Times New Roman"/>
          <w:i/>
        </w:rPr>
        <w:t>Babatoundé</w:t>
      </w:r>
      <w:proofErr w:type="spellEnd"/>
      <w:r w:rsidRPr="005A5985">
        <w:rPr>
          <w:rFonts w:ascii="Times New Roman" w:hAnsi="Times New Roman" w:cs="Times New Roman"/>
          <w:i/>
        </w:rPr>
        <w:t>**</w:t>
      </w:r>
    </w:p>
    <w:p w:rsidR="00DC37C1" w:rsidRDefault="00E51D38" w:rsidP="005819C3">
      <w:pPr>
        <w:spacing w:after="0" w:line="240" w:lineRule="auto"/>
        <w:jc w:val="center"/>
        <w:rPr>
          <w:rFonts w:ascii="Times New Roman" w:hAnsi="Times New Roman" w:cs="Times New Roman"/>
        </w:rPr>
      </w:pPr>
      <w:bookmarkStart w:id="0" w:name="_GoBack"/>
      <w:bookmarkEnd w:id="0"/>
      <w:r>
        <w:rPr>
          <w:rFonts w:ascii="Times New Roman" w:hAnsi="Times New Roman" w:cs="Times New Roman"/>
        </w:rPr>
        <w:t>Chaire OMC Commerce International &amp; Croissance Inclusive, Cotonou.</w:t>
      </w:r>
    </w:p>
    <w:p w:rsidR="005819C3" w:rsidRDefault="005819C3" w:rsidP="007318B8">
      <w:pPr>
        <w:rPr>
          <w:rFonts w:ascii="Times New Roman" w:hAnsi="Times New Roman" w:cs="Times New Roman"/>
          <w:b/>
          <w:i/>
        </w:rPr>
      </w:pPr>
    </w:p>
    <w:p w:rsidR="00850530" w:rsidRDefault="000B1490" w:rsidP="00850530">
      <w:pPr>
        <w:spacing w:line="240" w:lineRule="auto"/>
        <w:jc w:val="both"/>
        <w:rPr>
          <w:rFonts w:ascii="Times New Roman" w:hAnsi="Times New Roman" w:cs="Times New Roman"/>
          <w:i/>
        </w:rPr>
      </w:pPr>
      <w:r w:rsidRPr="002A0E7D">
        <w:rPr>
          <w:rFonts w:ascii="Times New Roman" w:hAnsi="Times New Roman" w:cs="Times New Roman"/>
          <w:i/>
        </w:rPr>
        <w:t>En 2006, l</w:t>
      </w:r>
      <w:r w:rsidR="00D71C0D" w:rsidRPr="002A0E7D">
        <w:rPr>
          <w:rFonts w:ascii="Times New Roman" w:hAnsi="Times New Roman" w:cs="Times New Roman"/>
          <w:i/>
        </w:rPr>
        <w:t xml:space="preserve">e Bénin a bénéficié de l’initiative du Gouvernement américain, le Programme Millenium Challenge </w:t>
      </w:r>
      <w:proofErr w:type="spellStart"/>
      <w:r w:rsidR="00D71C0D" w:rsidRPr="002A0E7D">
        <w:rPr>
          <w:rFonts w:ascii="Times New Roman" w:hAnsi="Times New Roman" w:cs="Times New Roman"/>
          <w:i/>
        </w:rPr>
        <w:t>Account</w:t>
      </w:r>
      <w:proofErr w:type="spellEnd"/>
      <w:r w:rsidR="00D71C0D" w:rsidRPr="002A0E7D">
        <w:rPr>
          <w:rFonts w:ascii="Times New Roman" w:hAnsi="Times New Roman" w:cs="Times New Roman"/>
          <w:i/>
        </w:rPr>
        <w:t xml:space="preserve"> (MCA)</w:t>
      </w:r>
      <w:r w:rsidR="002A0E7D" w:rsidRPr="002A0E7D">
        <w:rPr>
          <w:rFonts w:ascii="Times New Roman" w:hAnsi="Times New Roman" w:cs="Times New Roman"/>
          <w:i/>
        </w:rPr>
        <w:t> :</w:t>
      </w:r>
      <w:r w:rsidR="00D71C0D" w:rsidRPr="002A0E7D">
        <w:rPr>
          <w:rFonts w:ascii="Times New Roman" w:hAnsi="Times New Roman" w:cs="Times New Roman"/>
          <w:i/>
        </w:rPr>
        <w:t xml:space="preserve"> la principale composante du Programme reste le "Projet </w:t>
      </w:r>
      <w:r w:rsidR="002A0E7D" w:rsidRPr="002A0E7D">
        <w:rPr>
          <w:rFonts w:ascii="Times New Roman" w:hAnsi="Times New Roman" w:cs="Times New Roman"/>
          <w:i/>
        </w:rPr>
        <w:t xml:space="preserve">Accès aux </w:t>
      </w:r>
      <w:r w:rsidR="00D71C0D" w:rsidRPr="002A0E7D">
        <w:rPr>
          <w:rFonts w:ascii="Times New Roman" w:hAnsi="Times New Roman" w:cs="Times New Roman"/>
          <w:i/>
        </w:rPr>
        <w:t xml:space="preserve">Marchés" avec plus de </w:t>
      </w:r>
      <w:r w:rsidR="002A0E7D" w:rsidRPr="002A0E7D">
        <w:rPr>
          <w:rFonts w:ascii="Times New Roman" w:hAnsi="Times New Roman" w:cs="Times New Roman"/>
          <w:i/>
        </w:rPr>
        <w:t>61</w:t>
      </w:r>
      <w:r w:rsidR="00D71C0D" w:rsidRPr="002A0E7D">
        <w:rPr>
          <w:rFonts w:ascii="Times New Roman" w:hAnsi="Times New Roman" w:cs="Times New Roman"/>
          <w:i/>
        </w:rPr>
        <w:t xml:space="preserve">% des subventions </w:t>
      </w:r>
      <w:r w:rsidR="002A0E7D" w:rsidRPr="002A0E7D">
        <w:rPr>
          <w:rFonts w:ascii="Times New Roman" w:hAnsi="Times New Roman" w:cs="Times New Roman"/>
          <w:i/>
        </w:rPr>
        <w:t>orientées vers une</w:t>
      </w:r>
      <w:r w:rsidR="00D71C0D" w:rsidRPr="002A0E7D">
        <w:rPr>
          <w:rFonts w:ascii="Times New Roman" w:hAnsi="Times New Roman" w:cs="Times New Roman"/>
          <w:i/>
        </w:rPr>
        <w:t xml:space="preserve"> amélioration des opérations </w:t>
      </w:r>
      <w:r w:rsidR="0050671B" w:rsidRPr="002A0E7D">
        <w:rPr>
          <w:rFonts w:ascii="Times New Roman" w:hAnsi="Times New Roman" w:cs="Times New Roman"/>
          <w:i/>
        </w:rPr>
        <w:t xml:space="preserve">et infrastructures </w:t>
      </w:r>
      <w:r w:rsidR="00D71C0D" w:rsidRPr="002A0E7D">
        <w:rPr>
          <w:rFonts w:ascii="Times New Roman" w:hAnsi="Times New Roman" w:cs="Times New Roman"/>
          <w:i/>
        </w:rPr>
        <w:t>portuaires. </w:t>
      </w:r>
      <w:r w:rsidR="009A145C" w:rsidRPr="002A0E7D">
        <w:rPr>
          <w:rFonts w:ascii="Times New Roman" w:hAnsi="Times New Roman" w:cs="Times New Roman"/>
          <w:i/>
        </w:rPr>
        <w:t>L’objectif de cette étude est d</w:t>
      </w:r>
      <w:r w:rsidR="0050671B" w:rsidRPr="002A0E7D">
        <w:rPr>
          <w:rFonts w:ascii="Times New Roman" w:hAnsi="Times New Roman" w:cs="Times New Roman"/>
          <w:i/>
        </w:rPr>
        <w:t xml:space="preserve">’apprécier </w:t>
      </w:r>
      <w:r w:rsidR="003428ED">
        <w:rPr>
          <w:rFonts w:ascii="Times New Roman" w:hAnsi="Times New Roman" w:cs="Times New Roman"/>
          <w:i/>
        </w:rPr>
        <w:t>l</w:t>
      </w:r>
      <w:r w:rsidR="009A145C" w:rsidRPr="002A0E7D">
        <w:rPr>
          <w:rFonts w:ascii="Times New Roman" w:hAnsi="Times New Roman" w:cs="Times New Roman"/>
          <w:i/>
        </w:rPr>
        <w:t xml:space="preserve">es différents effets potentiels </w:t>
      </w:r>
      <w:r w:rsidR="003428ED">
        <w:rPr>
          <w:rFonts w:ascii="Times New Roman" w:hAnsi="Times New Roman" w:cs="Times New Roman"/>
          <w:i/>
        </w:rPr>
        <w:t xml:space="preserve">de ces réformes de facilitation </w:t>
      </w:r>
      <w:r w:rsidR="009A145C" w:rsidRPr="002A0E7D">
        <w:rPr>
          <w:rFonts w:ascii="Times New Roman" w:hAnsi="Times New Roman" w:cs="Times New Roman"/>
          <w:i/>
        </w:rPr>
        <w:t xml:space="preserve">sur la période récente. </w:t>
      </w:r>
      <w:r w:rsidR="00850530">
        <w:rPr>
          <w:rFonts w:ascii="Times New Roman" w:hAnsi="Times New Roman" w:cs="Times New Roman"/>
          <w:i/>
        </w:rPr>
        <w:t>A partir</w:t>
      </w:r>
      <w:r w:rsidR="00850530" w:rsidRPr="002A0E7D">
        <w:rPr>
          <w:rFonts w:ascii="Times New Roman" w:hAnsi="Times New Roman" w:cs="Times New Roman"/>
          <w:i/>
        </w:rPr>
        <w:t xml:space="preserve"> des indicateurs de performance</w:t>
      </w:r>
      <w:r w:rsidR="00850530">
        <w:rPr>
          <w:rFonts w:ascii="Times New Roman" w:hAnsi="Times New Roman" w:cs="Times New Roman"/>
          <w:i/>
        </w:rPr>
        <w:t>, l’étude révèle</w:t>
      </w:r>
      <w:r w:rsidR="00850530" w:rsidRPr="002A0E7D">
        <w:rPr>
          <w:rFonts w:ascii="Times New Roman" w:hAnsi="Times New Roman" w:cs="Times New Roman"/>
          <w:i/>
        </w:rPr>
        <w:t xml:space="preserve"> une hausse du trafic de marchandises de l’ordre de 13.65% en moyenne annuelle</w:t>
      </w:r>
      <w:r w:rsidR="00850530">
        <w:rPr>
          <w:rFonts w:ascii="Times New Roman" w:hAnsi="Times New Roman" w:cs="Times New Roman"/>
          <w:i/>
        </w:rPr>
        <w:t>. Une analyse de causalité à la Granger établie une relation de causalité allant de l’aide</w:t>
      </w:r>
      <w:r w:rsidR="008767E7">
        <w:rPr>
          <w:rFonts w:ascii="Times New Roman" w:hAnsi="Times New Roman" w:cs="Times New Roman"/>
          <w:i/>
        </w:rPr>
        <w:t>,</w:t>
      </w:r>
      <w:r w:rsidR="00850530">
        <w:rPr>
          <w:rFonts w:ascii="Times New Roman" w:hAnsi="Times New Roman" w:cs="Times New Roman"/>
          <w:i/>
        </w:rPr>
        <w:t xml:space="preserve"> au temps de traitement des conteneurs et au volume des importations. L’étude montre en outre que </w:t>
      </w:r>
      <w:r w:rsidR="00850530" w:rsidRPr="00664642">
        <w:rPr>
          <w:rFonts w:ascii="Times New Roman" w:hAnsi="Times New Roman" w:cs="Times New Roman"/>
          <w:i/>
        </w:rPr>
        <w:t xml:space="preserve">l’aide pour le commerce </w:t>
      </w:r>
      <w:r w:rsidR="00850530">
        <w:rPr>
          <w:rFonts w:ascii="Times New Roman" w:hAnsi="Times New Roman" w:cs="Times New Roman"/>
          <w:i/>
        </w:rPr>
        <w:t xml:space="preserve">a favorisé une baisse </w:t>
      </w:r>
      <w:r w:rsidR="00850530" w:rsidRPr="00664642">
        <w:rPr>
          <w:rFonts w:ascii="Times New Roman" w:hAnsi="Times New Roman" w:cs="Times New Roman"/>
          <w:i/>
        </w:rPr>
        <w:t>significative du temps de traitement des conteneurs à l’importation au P</w:t>
      </w:r>
      <w:r w:rsidR="00BD6248">
        <w:rPr>
          <w:rFonts w:ascii="Times New Roman" w:hAnsi="Times New Roman" w:cs="Times New Roman"/>
          <w:i/>
        </w:rPr>
        <w:t xml:space="preserve">ort </w:t>
      </w:r>
      <w:r w:rsidR="00850530" w:rsidRPr="00664642">
        <w:rPr>
          <w:rFonts w:ascii="Times New Roman" w:hAnsi="Times New Roman" w:cs="Times New Roman"/>
          <w:i/>
        </w:rPr>
        <w:t>A</w:t>
      </w:r>
      <w:r w:rsidR="00BD6248">
        <w:rPr>
          <w:rFonts w:ascii="Times New Roman" w:hAnsi="Times New Roman" w:cs="Times New Roman"/>
          <w:i/>
        </w:rPr>
        <w:t xml:space="preserve">utonome de </w:t>
      </w:r>
      <w:r w:rsidR="00850530" w:rsidRPr="00664642">
        <w:rPr>
          <w:rFonts w:ascii="Times New Roman" w:hAnsi="Times New Roman" w:cs="Times New Roman"/>
          <w:i/>
        </w:rPr>
        <w:t>C</w:t>
      </w:r>
      <w:r w:rsidR="00BD6248">
        <w:rPr>
          <w:rFonts w:ascii="Times New Roman" w:hAnsi="Times New Roman" w:cs="Times New Roman"/>
          <w:i/>
        </w:rPr>
        <w:t>otonou (PAC)</w:t>
      </w:r>
      <w:r w:rsidR="00850530">
        <w:rPr>
          <w:rFonts w:ascii="Times New Roman" w:hAnsi="Times New Roman" w:cs="Times New Roman"/>
          <w:i/>
        </w:rPr>
        <w:t> ; cette</w:t>
      </w:r>
      <w:r w:rsidR="00850530" w:rsidRPr="002A0E7D">
        <w:rPr>
          <w:rFonts w:ascii="Times New Roman" w:hAnsi="Times New Roman" w:cs="Times New Roman"/>
          <w:i/>
        </w:rPr>
        <w:t> </w:t>
      </w:r>
      <w:r w:rsidR="00850530">
        <w:rPr>
          <w:rFonts w:ascii="Times New Roman" w:hAnsi="Times New Roman" w:cs="Times New Roman"/>
          <w:i/>
        </w:rPr>
        <w:t xml:space="preserve">dernière a connu une baisse de </w:t>
      </w:r>
      <w:r w:rsidR="00850530" w:rsidRPr="002A0E7D">
        <w:rPr>
          <w:rFonts w:ascii="Times New Roman" w:hAnsi="Times New Roman" w:cs="Times New Roman"/>
          <w:i/>
        </w:rPr>
        <w:t>6.9% en moyenne annuelle.</w:t>
      </w:r>
      <w:r w:rsidR="00342ED8" w:rsidRPr="002A0E7D">
        <w:rPr>
          <w:rFonts w:ascii="Times New Roman" w:hAnsi="Times New Roman" w:cs="Times New Roman"/>
          <w:i/>
        </w:rPr>
        <w:t xml:space="preserve"> </w:t>
      </w:r>
      <w:r w:rsidR="00850530" w:rsidRPr="002A0E7D">
        <w:rPr>
          <w:rFonts w:ascii="Times New Roman" w:hAnsi="Times New Roman" w:cs="Times New Roman"/>
          <w:i/>
        </w:rPr>
        <w:t xml:space="preserve">Un modèle économétrique explicatif des importations permet de </w:t>
      </w:r>
      <w:r w:rsidR="00850530">
        <w:rPr>
          <w:rFonts w:ascii="Times New Roman" w:hAnsi="Times New Roman" w:cs="Times New Roman"/>
          <w:i/>
        </w:rPr>
        <w:t xml:space="preserve">soutenir </w:t>
      </w:r>
      <w:r w:rsidR="00850530" w:rsidRPr="002A0E7D">
        <w:rPr>
          <w:rFonts w:ascii="Times New Roman" w:hAnsi="Times New Roman" w:cs="Times New Roman"/>
          <w:i/>
        </w:rPr>
        <w:t xml:space="preserve">ces </w:t>
      </w:r>
      <w:r w:rsidR="00850530">
        <w:rPr>
          <w:rFonts w:ascii="Times New Roman" w:hAnsi="Times New Roman" w:cs="Times New Roman"/>
          <w:i/>
        </w:rPr>
        <w:t xml:space="preserve">présomptions de corrélation. Nous estimons un modèle des importations avec ou sans la subvention du MCA. Les résultats révèlent </w:t>
      </w:r>
      <w:r w:rsidR="00850530" w:rsidRPr="002A0E7D">
        <w:rPr>
          <w:rFonts w:ascii="Times New Roman" w:hAnsi="Times New Roman" w:cs="Times New Roman"/>
          <w:i/>
        </w:rPr>
        <w:t xml:space="preserve">une hausse </w:t>
      </w:r>
      <w:r w:rsidR="00850530">
        <w:rPr>
          <w:rFonts w:ascii="Times New Roman" w:hAnsi="Times New Roman" w:cs="Times New Roman"/>
          <w:i/>
        </w:rPr>
        <w:t xml:space="preserve">plus importante </w:t>
      </w:r>
      <w:r w:rsidR="00850530" w:rsidRPr="002A0E7D">
        <w:rPr>
          <w:rFonts w:ascii="Times New Roman" w:hAnsi="Times New Roman" w:cs="Times New Roman"/>
          <w:i/>
        </w:rPr>
        <w:t xml:space="preserve">des importations </w:t>
      </w:r>
      <w:r w:rsidR="00850530">
        <w:rPr>
          <w:rFonts w:ascii="Times New Roman" w:hAnsi="Times New Roman" w:cs="Times New Roman"/>
          <w:i/>
        </w:rPr>
        <w:t>en présence des</w:t>
      </w:r>
      <w:r w:rsidR="00850530" w:rsidRPr="002A0E7D">
        <w:rPr>
          <w:rFonts w:ascii="Times New Roman" w:hAnsi="Times New Roman" w:cs="Times New Roman"/>
          <w:i/>
        </w:rPr>
        <w:t xml:space="preserve"> subvention</w:t>
      </w:r>
      <w:r w:rsidR="00850530">
        <w:rPr>
          <w:rFonts w:ascii="Times New Roman" w:hAnsi="Times New Roman" w:cs="Times New Roman"/>
          <w:i/>
        </w:rPr>
        <w:t>s</w:t>
      </w:r>
      <w:r w:rsidR="00850530" w:rsidRPr="002A0E7D">
        <w:rPr>
          <w:rFonts w:ascii="Times New Roman" w:hAnsi="Times New Roman" w:cs="Times New Roman"/>
          <w:i/>
        </w:rPr>
        <w:t xml:space="preserve"> du MCA. Ces résultats</w:t>
      </w:r>
      <w:r w:rsidR="00850530">
        <w:rPr>
          <w:rFonts w:ascii="Times New Roman" w:hAnsi="Times New Roman" w:cs="Times New Roman"/>
          <w:i/>
        </w:rPr>
        <w:t xml:space="preserve"> démontrent que les subventions du MCA ont contribué à améliorer la compétitivité du PAC et </w:t>
      </w:r>
      <w:r w:rsidR="00850530" w:rsidRPr="002A0E7D">
        <w:rPr>
          <w:rFonts w:ascii="Times New Roman" w:hAnsi="Times New Roman" w:cs="Times New Roman"/>
          <w:i/>
        </w:rPr>
        <w:t>suggèrent une intensification des réformes de facilitation des échanges au Port Autonome de Cotonou.</w:t>
      </w:r>
    </w:p>
    <w:p w:rsidR="005819C3" w:rsidRPr="002A0E7D" w:rsidRDefault="005819C3" w:rsidP="00850530">
      <w:pPr>
        <w:spacing w:line="240" w:lineRule="auto"/>
        <w:jc w:val="both"/>
        <w:rPr>
          <w:rFonts w:ascii="Times New Roman" w:hAnsi="Times New Roman" w:cs="Times New Roman"/>
          <w:b/>
          <w:i/>
        </w:rPr>
      </w:pPr>
      <w:r w:rsidRPr="002A0E7D">
        <w:rPr>
          <w:rFonts w:ascii="Times New Roman" w:hAnsi="Times New Roman" w:cs="Times New Roman"/>
          <w:b/>
          <w:i/>
          <w:u w:val="single"/>
        </w:rPr>
        <w:t>Mots clés</w:t>
      </w:r>
      <w:r w:rsidRPr="002A0E7D">
        <w:rPr>
          <w:rFonts w:ascii="Times New Roman" w:hAnsi="Times New Roman" w:cs="Times New Roman"/>
          <w:b/>
          <w:i/>
        </w:rPr>
        <w:t> : Réformes portuaires, Facilitation, Commerce, Aide, Coût-bénéfice.</w:t>
      </w:r>
    </w:p>
    <w:p w:rsidR="005819C3" w:rsidRPr="003428ED" w:rsidRDefault="005819C3" w:rsidP="005819C3">
      <w:pPr>
        <w:spacing w:after="0" w:line="240" w:lineRule="auto"/>
        <w:rPr>
          <w:rFonts w:ascii="Times New Roman" w:hAnsi="Times New Roman" w:cs="Times New Roman"/>
          <w:i/>
          <w:lang w:val="en-US"/>
        </w:rPr>
      </w:pPr>
      <w:r w:rsidRPr="003428ED">
        <w:rPr>
          <w:rFonts w:ascii="Times New Roman" w:hAnsi="Times New Roman" w:cs="Times New Roman"/>
          <w:b/>
          <w:i/>
          <w:u w:val="single"/>
          <w:lang w:val="en-US"/>
        </w:rPr>
        <w:t xml:space="preserve">Classification </w:t>
      </w:r>
      <w:proofErr w:type="gramStart"/>
      <w:r w:rsidRPr="003428ED">
        <w:rPr>
          <w:rFonts w:ascii="Times New Roman" w:hAnsi="Times New Roman" w:cs="Times New Roman"/>
          <w:b/>
          <w:i/>
          <w:u w:val="single"/>
          <w:lang w:val="en-US"/>
        </w:rPr>
        <w:t>JEL</w:t>
      </w:r>
      <w:r w:rsidRPr="003428ED">
        <w:rPr>
          <w:rFonts w:ascii="Times New Roman" w:hAnsi="Times New Roman" w:cs="Times New Roman"/>
          <w:b/>
          <w:i/>
          <w:lang w:val="en-US"/>
        </w:rPr>
        <w:t> :</w:t>
      </w:r>
      <w:proofErr w:type="gramEnd"/>
      <w:r w:rsidRPr="003428ED">
        <w:rPr>
          <w:rFonts w:ascii="Times New Roman" w:hAnsi="Times New Roman" w:cs="Times New Roman"/>
          <w:b/>
          <w:i/>
          <w:lang w:val="en-US"/>
        </w:rPr>
        <w:t xml:space="preserve"> F13, F35, O24</w:t>
      </w:r>
    </w:p>
    <w:p w:rsidR="005819C3" w:rsidRDefault="005819C3" w:rsidP="007318B8">
      <w:pPr>
        <w:rPr>
          <w:rFonts w:ascii="Times New Roman" w:hAnsi="Times New Roman" w:cs="Times New Roman"/>
          <w:b/>
          <w:i/>
          <w:lang w:val="en-US"/>
        </w:rPr>
      </w:pPr>
    </w:p>
    <w:p w:rsidR="005819C3" w:rsidRPr="005819C3" w:rsidRDefault="005819C3" w:rsidP="005819C3">
      <w:pPr>
        <w:jc w:val="center"/>
        <w:rPr>
          <w:rFonts w:ascii="Times New Roman" w:hAnsi="Times New Roman" w:cs="Times New Roman"/>
          <w:b/>
          <w:i/>
          <w:sz w:val="26"/>
          <w:szCs w:val="26"/>
          <w:lang w:val="en-US"/>
        </w:rPr>
      </w:pPr>
      <w:r w:rsidRPr="005819C3">
        <w:rPr>
          <w:rFonts w:ascii="Times New Roman" w:hAnsi="Times New Roman" w:cs="Times New Roman"/>
          <w:b/>
          <w:i/>
          <w:sz w:val="26"/>
          <w:szCs w:val="26"/>
          <w:lang w:val="en-US"/>
        </w:rPr>
        <w:t>MCA Subsidy and Port Reforms in Benin:  Effect of Trade Facilitation Analyze</w:t>
      </w:r>
    </w:p>
    <w:p w:rsidR="005819C3" w:rsidRPr="000279AB" w:rsidRDefault="005819C3" w:rsidP="00581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US"/>
        </w:rPr>
      </w:pPr>
      <w:r w:rsidRPr="00B730EE">
        <w:rPr>
          <w:rFonts w:ascii="Times New Roman" w:eastAsia="Times New Roman" w:hAnsi="Times New Roman" w:cs="Times New Roman"/>
          <w:i/>
          <w:lang w:val="en-US"/>
        </w:rPr>
        <w:t xml:space="preserve">In 2006, Benin has benefited from US Government initiative, the Millennium Challenge Account Program (MCA): the main component of this Program remains the </w:t>
      </w:r>
      <w:proofErr w:type="gramStart"/>
      <w:r w:rsidRPr="00B730EE">
        <w:rPr>
          <w:rFonts w:ascii="Times New Roman" w:eastAsia="Times New Roman" w:hAnsi="Times New Roman" w:cs="Times New Roman"/>
          <w:i/>
          <w:lang w:val="en-US"/>
        </w:rPr>
        <w:t>" Access</w:t>
      </w:r>
      <w:proofErr w:type="gramEnd"/>
      <w:r w:rsidRPr="00B730EE">
        <w:rPr>
          <w:rFonts w:ascii="Times New Roman" w:eastAsia="Times New Roman" w:hAnsi="Times New Roman" w:cs="Times New Roman"/>
          <w:i/>
          <w:lang w:val="en-US"/>
        </w:rPr>
        <w:t xml:space="preserve"> to Markets Project" with 61% of subsidies directed towards improving port operations and infrastructure</w:t>
      </w:r>
      <w:r w:rsidR="00C054CD" w:rsidRPr="00B730EE">
        <w:rPr>
          <w:rFonts w:ascii="Times New Roman" w:eastAsia="Times New Roman" w:hAnsi="Times New Roman" w:cs="Times New Roman"/>
          <w:i/>
          <w:lang w:val="en-US"/>
        </w:rPr>
        <w:t>s</w:t>
      </w:r>
      <w:r w:rsidRPr="00B730EE">
        <w:rPr>
          <w:rFonts w:ascii="Times New Roman" w:eastAsia="Times New Roman" w:hAnsi="Times New Roman" w:cs="Times New Roman"/>
          <w:i/>
          <w:lang w:val="en-US"/>
        </w:rPr>
        <w:t xml:space="preserve">. The aim of this study is to assess the potential effects </w:t>
      </w:r>
      <w:r w:rsidR="001B4A98" w:rsidRPr="00B730EE">
        <w:rPr>
          <w:rFonts w:ascii="Times New Roman" w:eastAsia="Times New Roman" w:hAnsi="Times New Roman" w:cs="Times New Roman"/>
          <w:i/>
          <w:lang w:val="en-US"/>
        </w:rPr>
        <w:t xml:space="preserve">of these trade facilitations reforms </w:t>
      </w:r>
      <w:r w:rsidRPr="00B730EE">
        <w:rPr>
          <w:rFonts w:ascii="Times New Roman" w:eastAsia="Times New Roman" w:hAnsi="Times New Roman" w:cs="Times New Roman"/>
          <w:i/>
          <w:lang w:val="en-US"/>
        </w:rPr>
        <w:t xml:space="preserve">over the recent period. </w:t>
      </w:r>
      <w:r w:rsidR="001B4A98" w:rsidRPr="00B730EE">
        <w:rPr>
          <w:rFonts w:ascii="Times New Roman" w:eastAsia="Times New Roman" w:hAnsi="Times New Roman" w:cs="Times New Roman"/>
          <w:i/>
          <w:lang w:val="en-US"/>
        </w:rPr>
        <w:t xml:space="preserve">Based on </w:t>
      </w:r>
      <w:r w:rsidRPr="00B730EE">
        <w:rPr>
          <w:rFonts w:ascii="Times New Roman" w:eastAsia="Times New Roman" w:hAnsi="Times New Roman" w:cs="Times New Roman"/>
          <w:i/>
          <w:lang w:val="en-US"/>
        </w:rPr>
        <w:t>performance indicators</w:t>
      </w:r>
      <w:r w:rsidR="001B4A98" w:rsidRPr="00B730EE">
        <w:rPr>
          <w:rFonts w:ascii="Times New Roman" w:eastAsia="Times New Roman" w:hAnsi="Times New Roman" w:cs="Times New Roman"/>
          <w:i/>
          <w:lang w:val="en-US"/>
        </w:rPr>
        <w:t xml:space="preserve">, </w:t>
      </w:r>
      <w:r w:rsidR="008767E7">
        <w:rPr>
          <w:rFonts w:ascii="Times New Roman" w:eastAsia="Times New Roman" w:hAnsi="Times New Roman" w:cs="Times New Roman"/>
          <w:i/>
          <w:lang w:val="en-US"/>
        </w:rPr>
        <w:t>the study</w:t>
      </w:r>
      <w:r w:rsidR="001B4A98" w:rsidRPr="00B730EE">
        <w:rPr>
          <w:rFonts w:ascii="Times New Roman" w:eastAsia="Times New Roman" w:hAnsi="Times New Roman" w:cs="Times New Roman"/>
          <w:i/>
          <w:lang w:val="en-US"/>
        </w:rPr>
        <w:t xml:space="preserve"> show</w:t>
      </w:r>
      <w:r w:rsidR="008767E7">
        <w:rPr>
          <w:rFonts w:ascii="Times New Roman" w:eastAsia="Times New Roman" w:hAnsi="Times New Roman" w:cs="Times New Roman"/>
          <w:i/>
          <w:lang w:val="en-US"/>
        </w:rPr>
        <w:t>s</w:t>
      </w:r>
      <w:r w:rsidRPr="00B730EE">
        <w:rPr>
          <w:rFonts w:ascii="Times New Roman" w:eastAsia="Times New Roman" w:hAnsi="Times New Roman" w:cs="Times New Roman"/>
          <w:i/>
          <w:lang w:val="en-US"/>
        </w:rPr>
        <w:t xml:space="preserve"> an increase in merchandises traffic by </w:t>
      </w:r>
      <w:r w:rsidR="001B4A98" w:rsidRPr="00B730EE">
        <w:rPr>
          <w:rFonts w:ascii="Times New Roman" w:eastAsia="Times New Roman" w:hAnsi="Times New Roman" w:cs="Times New Roman"/>
          <w:i/>
          <w:lang w:val="en-US"/>
        </w:rPr>
        <w:t>13.65% on annual average</w:t>
      </w:r>
      <w:r w:rsidRPr="00B730EE">
        <w:rPr>
          <w:rFonts w:ascii="Times New Roman" w:eastAsia="Times New Roman" w:hAnsi="Times New Roman" w:cs="Times New Roman"/>
          <w:i/>
          <w:lang w:val="en-US"/>
        </w:rPr>
        <w:t xml:space="preserve">. </w:t>
      </w:r>
      <w:r w:rsidR="001B4A98" w:rsidRPr="00B730EE">
        <w:rPr>
          <w:rFonts w:ascii="Times New Roman" w:eastAsia="Times New Roman" w:hAnsi="Times New Roman" w:cs="Times New Roman"/>
          <w:i/>
          <w:lang w:val="en-US"/>
        </w:rPr>
        <w:t>Granger causality test establishes a relation from aid to time of import containers processing and imports</w:t>
      </w:r>
      <w:r w:rsidR="00F44468" w:rsidRPr="00B730EE">
        <w:rPr>
          <w:rFonts w:ascii="Times New Roman" w:eastAsia="Times New Roman" w:hAnsi="Times New Roman" w:cs="Times New Roman"/>
          <w:i/>
          <w:lang w:val="en-US"/>
        </w:rPr>
        <w:t xml:space="preserve"> quantity.</w:t>
      </w:r>
      <w:r w:rsidR="001B4A98" w:rsidRPr="00B730EE">
        <w:rPr>
          <w:rFonts w:ascii="Times New Roman" w:eastAsia="Times New Roman" w:hAnsi="Times New Roman" w:cs="Times New Roman"/>
          <w:i/>
          <w:lang w:val="en-US"/>
        </w:rPr>
        <w:t xml:space="preserve"> </w:t>
      </w:r>
      <w:r w:rsidR="00F44468" w:rsidRPr="00B730EE">
        <w:rPr>
          <w:rFonts w:ascii="Times New Roman" w:eastAsia="Times New Roman" w:hAnsi="Times New Roman" w:cs="Times New Roman"/>
          <w:i/>
          <w:lang w:val="en-US"/>
        </w:rPr>
        <w:t>Moreover, the study shows that aid for trade induces significant decrease on the time of import containers processing</w:t>
      </w:r>
      <w:r w:rsidR="00A439F0" w:rsidRPr="00B730EE">
        <w:rPr>
          <w:rFonts w:ascii="Times New Roman" w:eastAsia="Times New Roman" w:hAnsi="Times New Roman" w:cs="Times New Roman"/>
          <w:i/>
          <w:lang w:val="en-US"/>
        </w:rPr>
        <w:t xml:space="preserve"> at </w:t>
      </w:r>
      <w:proofErr w:type="spellStart"/>
      <w:r w:rsidR="00A439F0" w:rsidRPr="00B730EE">
        <w:rPr>
          <w:rFonts w:ascii="Times New Roman" w:eastAsia="Times New Roman" w:hAnsi="Times New Roman" w:cs="Times New Roman"/>
          <w:i/>
          <w:lang w:val="en-US"/>
        </w:rPr>
        <w:t>Cotonou</w:t>
      </w:r>
      <w:proofErr w:type="spellEnd"/>
      <w:r w:rsidR="00A439F0" w:rsidRPr="00B730EE">
        <w:rPr>
          <w:rFonts w:ascii="Times New Roman" w:eastAsia="Times New Roman" w:hAnsi="Times New Roman" w:cs="Times New Roman"/>
          <w:i/>
          <w:lang w:val="en-US"/>
        </w:rPr>
        <w:t xml:space="preserve"> Port </w:t>
      </w:r>
      <w:r w:rsidR="00B730EE" w:rsidRPr="00B730EE">
        <w:rPr>
          <w:rFonts w:ascii="Times New Roman" w:eastAsia="Times New Roman" w:hAnsi="Times New Roman" w:cs="Times New Roman"/>
          <w:i/>
          <w:lang w:val="en-US"/>
        </w:rPr>
        <w:t xml:space="preserve">Authority (CPA) </w:t>
      </w:r>
      <w:r w:rsidR="00A439F0" w:rsidRPr="00B730EE">
        <w:rPr>
          <w:rFonts w:ascii="Times New Roman" w:eastAsia="Times New Roman" w:hAnsi="Times New Roman" w:cs="Times New Roman"/>
          <w:i/>
          <w:lang w:val="en-US"/>
        </w:rPr>
        <w:t>by 6.9% on average.</w:t>
      </w:r>
      <w:r w:rsidR="00F44468" w:rsidRPr="00B730EE">
        <w:rPr>
          <w:rFonts w:ascii="Times New Roman" w:eastAsia="Times New Roman" w:hAnsi="Times New Roman" w:cs="Times New Roman"/>
          <w:i/>
          <w:lang w:val="en-US"/>
        </w:rPr>
        <w:t xml:space="preserve"> </w:t>
      </w:r>
      <w:r w:rsidR="00A439F0" w:rsidRPr="00B730EE">
        <w:rPr>
          <w:rFonts w:ascii="Times New Roman" w:eastAsia="Times New Roman" w:hAnsi="Times New Roman" w:cs="Times New Roman"/>
          <w:i/>
          <w:lang w:val="en-US"/>
        </w:rPr>
        <w:t xml:space="preserve">An econometric model explaining imports enables to support </w:t>
      </w:r>
      <w:r w:rsidR="008767E7" w:rsidRPr="00B730EE">
        <w:rPr>
          <w:rFonts w:ascii="Times New Roman" w:eastAsia="Times New Roman" w:hAnsi="Times New Roman" w:cs="Times New Roman"/>
          <w:i/>
          <w:lang w:val="en-US"/>
        </w:rPr>
        <w:t>these correlations</w:t>
      </w:r>
      <w:r w:rsidR="00A439F0" w:rsidRPr="00B730EE">
        <w:rPr>
          <w:rFonts w:ascii="Times New Roman" w:eastAsia="Times New Roman" w:hAnsi="Times New Roman" w:cs="Times New Roman"/>
          <w:i/>
          <w:lang w:val="en-US"/>
        </w:rPr>
        <w:t xml:space="preserve">. </w:t>
      </w:r>
      <w:r w:rsidR="00B730EE" w:rsidRPr="00B730EE">
        <w:rPr>
          <w:rFonts w:ascii="Times New Roman" w:eastAsia="Times New Roman" w:hAnsi="Times New Roman" w:cs="Times New Roman"/>
          <w:i/>
          <w:lang w:val="en-US"/>
        </w:rPr>
        <w:t>We e</w:t>
      </w:r>
      <w:r w:rsidRPr="00B730EE">
        <w:rPr>
          <w:rFonts w:ascii="Times New Roman" w:eastAsia="Times New Roman" w:hAnsi="Times New Roman" w:cs="Times New Roman"/>
          <w:i/>
          <w:lang w:val="en-US"/>
        </w:rPr>
        <w:t>stimat</w:t>
      </w:r>
      <w:r w:rsidR="00B730EE" w:rsidRPr="00B730EE">
        <w:rPr>
          <w:rFonts w:ascii="Times New Roman" w:eastAsia="Times New Roman" w:hAnsi="Times New Roman" w:cs="Times New Roman"/>
          <w:i/>
          <w:lang w:val="en-US"/>
        </w:rPr>
        <w:t>e</w:t>
      </w:r>
      <w:r w:rsidRPr="00B730EE">
        <w:rPr>
          <w:rFonts w:ascii="Times New Roman" w:eastAsia="Times New Roman" w:hAnsi="Times New Roman" w:cs="Times New Roman"/>
          <w:i/>
          <w:lang w:val="en-US"/>
        </w:rPr>
        <w:t xml:space="preserve"> the model</w:t>
      </w:r>
      <w:r w:rsidR="00B730EE" w:rsidRPr="00B730EE">
        <w:rPr>
          <w:rFonts w:ascii="Times New Roman" w:eastAsia="Times New Roman" w:hAnsi="Times New Roman" w:cs="Times New Roman"/>
          <w:i/>
          <w:lang w:val="en-US"/>
        </w:rPr>
        <w:t xml:space="preserve"> with and without</w:t>
      </w:r>
      <w:r w:rsidRPr="00B730EE">
        <w:rPr>
          <w:rFonts w:ascii="Times New Roman" w:eastAsia="Times New Roman" w:hAnsi="Times New Roman" w:cs="Times New Roman"/>
          <w:i/>
          <w:lang w:val="en-US"/>
        </w:rPr>
        <w:t xml:space="preserve"> MCA subsid</w:t>
      </w:r>
      <w:r w:rsidR="00B730EE" w:rsidRPr="00B730EE">
        <w:rPr>
          <w:rFonts w:ascii="Times New Roman" w:eastAsia="Times New Roman" w:hAnsi="Times New Roman" w:cs="Times New Roman"/>
          <w:i/>
          <w:lang w:val="en-US"/>
        </w:rPr>
        <w:t>ies. Results reveal important increase in import when MCA aid is included</w:t>
      </w:r>
      <w:r w:rsidR="008767E7">
        <w:rPr>
          <w:rFonts w:ascii="Times New Roman" w:eastAsia="Times New Roman" w:hAnsi="Times New Roman" w:cs="Times New Roman"/>
          <w:i/>
          <w:lang w:val="en-US"/>
        </w:rPr>
        <w:t xml:space="preserve"> in the model</w:t>
      </w:r>
      <w:r w:rsidR="00B730EE" w:rsidRPr="00B730EE">
        <w:rPr>
          <w:rFonts w:ascii="Times New Roman" w:eastAsia="Times New Roman" w:hAnsi="Times New Roman" w:cs="Times New Roman"/>
          <w:i/>
          <w:lang w:val="en-US"/>
        </w:rPr>
        <w:t xml:space="preserve">. </w:t>
      </w:r>
      <w:r w:rsidRPr="00B730EE">
        <w:rPr>
          <w:rFonts w:ascii="Times New Roman" w:eastAsia="Times New Roman" w:hAnsi="Times New Roman" w:cs="Times New Roman"/>
          <w:i/>
          <w:lang w:val="en-US"/>
        </w:rPr>
        <w:t xml:space="preserve">These </w:t>
      </w:r>
      <w:r w:rsidR="00B730EE" w:rsidRPr="00B730EE">
        <w:rPr>
          <w:rFonts w:ascii="Times New Roman" w:eastAsia="Times New Roman" w:hAnsi="Times New Roman" w:cs="Times New Roman"/>
          <w:i/>
          <w:lang w:val="en-US"/>
        </w:rPr>
        <w:t xml:space="preserve">findings show that MCA subsidies contribute to improve performance of CPA and </w:t>
      </w:r>
      <w:r w:rsidRPr="00B730EE">
        <w:rPr>
          <w:rFonts w:ascii="Times New Roman" w:eastAsia="Times New Roman" w:hAnsi="Times New Roman" w:cs="Times New Roman"/>
          <w:i/>
          <w:lang w:val="en-US"/>
        </w:rPr>
        <w:t xml:space="preserve">suggest intensification of trade facilitation reforms in </w:t>
      </w:r>
      <w:proofErr w:type="spellStart"/>
      <w:r w:rsidRPr="00B730EE">
        <w:rPr>
          <w:rFonts w:ascii="Times New Roman" w:eastAsia="Times New Roman" w:hAnsi="Times New Roman" w:cs="Times New Roman"/>
          <w:i/>
          <w:lang w:val="en-US"/>
        </w:rPr>
        <w:t>Cotonou</w:t>
      </w:r>
      <w:proofErr w:type="spellEnd"/>
      <w:r w:rsidRPr="00B730EE">
        <w:rPr>
          <w:rFonts w:ascii="Times New Roman" w:eastAsia="Times New Roman" w:hAnsi="Times New Roman" w:cs="Times New Roman"/>
          <w:i/>
          <w:lang w:val="en-US"/>
        </w:rPr>
        <w:t xml:space="preserve"> Port Authority.</w:t>
      </w:r>
    </w:p>
    <w:p w:rsidR="005819C3" w:rsidRPr="003428ED" w:rsidRDefault="005819C3" w:rsidP="005819C3">
      <w:pPr>
        <w:spacing w:after="0" w:line="240" w:lineRule="auto"/>
        <w:rPr>
          <w:rFonts w:ascii="Times New Roman" w:hAnsi="Times New Roman" w:cs="Times New Roman"/>
          <w:b/>
          <w:i/>
          <w:u w:val="single"/>
          <w:lang w:val="en-US"/>
        </w:rPr>
      </w:pPr>
    </w:p>
    <w:p w:rsidR="00DC37C1" w:rsidRPr="002A0E7D" w:rsidRDefault="00DC37C1" w:rsidP="005819C3">
      <w:pPr>
        <w:spacing w:after="0" w:line="240" w:lineRule="auto"/>
        <w:rPr>
          <w:rFonts w:ascii="Times New Roman" w:hAnsi="Times New Roman" w:cs="Times New Roman"/>
          <w:b/>
          <w:i/>
        </w:rPr>
      </w:pPr>
      <w:r w:rsidRPr="002A0E7D">
        <w:rPr>
          <w:rFonts w:ascii="Times New Roman" w:hAnsi="Times New Roman" w:cs="Times New Roman"/>
          <w:b/>
          <w:i/>
          <w:u w:val="single"/>
        </w:rPr>
        <w:t>Mots clés</w:t>
      </w:r>
      <w:r w:rsidR="00203928" w:rsidRPr="002A0E7D">
        <w:rPr>
          <w:rFonts w:ascii="Times New Roman" w:hAnsi="Times New Roman" w:cs="Times New Roman"/>
          <w:b/>
          <w:i/>
        </w:rPr>
        <w:t xml:space="preserve"> : </w:t>
      </w:r>
      <w:r w:rsidR="005819C3">
        <w:rPr>
          <w:rFonts w:ascii="Times New Roman" w:hAnsi="Times New Roman" w:cs="Times New Roman"/>
          <w:b/>
          <w:i/>
        </w:rPr>
        <w:t xml:space="preserve">Port </w:t>
      </w:r>
      <w:proofErr w:type="spellStart"/>
      <w:r w:rsidR="00203928" w:rsidRPr="002A0E7D">
        <w:rPr>
          <w:rFonts w:ascii="Times New Roman" w:hAnsi="Times New Roman" w:cs="Times New Roman"/>
          <w:b/>
          <w:i/>
        </w:rPr>
        <w:t>R</w:t>
      </w:r>
      <w:r w:rsidR="005819C3">
        <w:rPr>
          <w:rFonts w:ascii="Times New Roman" w:hAnsi="Times New Roman" w:cs="Times New Roman"/>
          <w:b/>
          <w:i/>
        </w:rPr>
        <w:t>e</w:t>
      </w:r>
      <w:r w:rsidR="00203928" w:rsidRPr="002A0E7D">
        <w:rPr>
          <w:rFonts w:ascii="Times New Roman" w:hAnsi="Times New Roman" w:cs="Times New Roman"/>
          <w:b/>
          <w:i/>
        </w:rPr>
        <w:t>forms</w:t>
      </w:r>
      <w:proofErr w:type="spellEnd"/>
      <w:r w:rsidR="00203928" w:rsidRPr="002A0E7D">
        <w:rPr>
          <w:rFonts w:ascii="Times New Roman" w:hAnsi="Times New Roman" w:cs="Times New Roman"/>
          <w:b/>
          <w:i/>
        </w:rPr>
        <w:t xml:space="preserve">, Facilitation, </w:t>
      </w:r>
      <w:r w:rsidR="005819C3">
        <w:rPr>
          <w:rFonts w:ascii="Times New Roman" w:hAnsi="Times New Roman" w:cs="Times New Roman"/>
          <w:b/>
          <w:i/>
        </w:rPr>
        <w:t>Trade</w:t>
      </w:r>
      <w:r w:rsidR="00203928" w:rsidRPr="002A0E7D">
        <w:rPr>
          <w:rFonts w:ascii="Times New Roman" w:hAnsi="Times New Roman" w:cs="Times New Roman"/>
          <w:b/>
          <w:i/>
        </w:rPr>
        <w:t xml:space="preserve">, </w:t>
      </w:r>
      <w:proofErr w:type="spellStart"/>
      <w:r w:rsidR="00203928" w:rsidRPr="002A0E7D">
        <w:rPr>
          <w:rFonts w:ascii="Times New Roman" w:hAnsi="Times New Roman" w:cs="Times New Roman"/>
          <w:b/>
          <w:i/>
        </w:rPr>
        <w:t>Aid</w:t>
      </w:r>
      <w:proofErr w:type="spellEnd"/>
      <w:r w:rsidR="00203928" w:rsidRPr="002A0E7D">
        <w:rPr>
          <w:rFonts w:ascii="Times New Roman" w:hAnsi="Times New Roman" w:cs="Times New Roman"/>
          <w:b/>
          <w:i/>
        </w:rPr>
        <w:t>.</w:t>
      </w:r>
    </w:p>
    <w:p w:rsidR="00DC37C1" w:rsidRPr="002A0E7D" w:rsidRDefault="005819C3" w:rsidP="005819C3">
      <w:pPr>
        <w:spacing w:after="0" w:line="240" w:lineRule="auto"/>
        <w:rPr>
          <w:rFonts w:ascii="Times New Roman" w:hAnsi="Times New Roman" w:cs="Times New Roman"/>
          <w:i/>
        </w:rPr>
      </w:pPr>
      <w:r>
        <w:rPr>
          <w:rFonts w:ascii="Times New Roman" w:hAnsi="Times New Roman" w:cs="Times New Roman"/>
          <w:b/>
          <w:i/>
          <w:u w:val="single"/>
        </w:rPr>
        <w:t xml:space="preserve">JEL </w:t>
      </w:r>
      <w:r w:rsidR="00DC37C1" w:rsidRPr="002A0E7D">
        <w:rPr>
          <w:rFonts w:ascii="Times New Roman" w:hAnsi="Times New Roman" w:cs="Times New Roman"/>
          <w:b/>
          <w:i/>
          <w:u w:val="single"/>
        </w:rPr>
        <w:t xml:space="preserve">Classification </w:t>
      </w:r>
      <w:r w:rsidR="00203928" w:rsidRPr="002A0E7D">
        <w:rPr>
          <w:rFonts w:ascii="Times New Roman" w:hAnsi="Times New Roman" w:cs="Times New Roman"/>
          <w:b/>
          <w:i/>
        </w:rPr>
        <w:t xml:space="preserve">: F13, F35, </w:t>
      </w:r>
      <w:r w:rsidR="003C27D2" w:rsidRPr="002A0E7D">
        <w:rPr>
          <w:rFonts w:ascii="Times New Roman" w:hAnsi="Times New Roman" w:cs="Times New Roman"/>
          <w:b/>
          <w:i/>
        </w:rPr>
        <w:t>O24</w:t>
      </w:r>
    </w:p>
    <w:p w:rsidR="00DC37C1" w:rsidRDefault="008767E7" w:rsidP="007318B8">
      <w:pPr>
        <w:rPr>
          <w:rFonts w:ascii="Trebuchet MS" w:hAnsi="Trebuchet MS"/>
        </w:rPr>
      </w:pPr>
      <w:r>
        <w:rPr>
          <w:rFonts w:ascii="Trebuchet MS" w:hAnsi="Trebuchet MS"/>
          <w:noProof/>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267970</wp:posOffset>
                </wp:positionV>
                <wp:extent cx="2981325" cy="0"/>
                <wp:effectExtent l="9525" t="5715" r="9525" b="1333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pt;margin-top:21.1pt;width:23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"/>
            </w:pict>
          </mc:Fallback>
        </mc:AlternateContent>
      </w:r>
    </w:p>
    <w:p w:rsidR="005819C3" w:rsidRPr="005819C3" w:rsidRDefault="005819C3" w:rsidP="007318B8">
      <w:pPr>
        <w:rPr>
          <w:rFonts w:ascii="Times New Roman" w:hAnsi="Times New Roman" w:cs="Times New Roman"/>
        </w:rPr>
      </w:pPr>
      <w:r w:rsidRPr="005819C3">
        <w:rPr>
          <w:rFonts w:ascii="Times New Roman" w:hAnsi="Times New Roman" w:cs="Times New Roman"/>
        </w:rPr>
        <w:t xml:space="preserve">(*) Titulaire de la Chaire ; (**) Membre de la Chaire. </w:t>
      </w:r>
    </w:p>
    <w:p w:rsidR="001D06A4" w:rsidRDefault="001D06A4" w:rsidP="00AC11B4">
      <w:pPr>
        <w:spacing w:before="120" w:after="120"/>
        <w:jc w:val="both"/>
        <w:rPr>
          <w:rFonts w:ascii="Trebuchet MS" w:hAnsi="Trebuchet MS"/>
          <w:b/>
          <w:sz w:val="24"/>
          <w:szCs w:val="24"/>
        </w:rPr>
        <w:sectPr w:rsidR="001D06A4" w:rsidSect="00EF2719">
          <w:footerReference w:type="default" r:id="rId9"/>
          <w:pgSz w:w="11906" w:h="16838"/>
          <w:pgMar w:top="1417" w:right="1417" w:bottom="1417" w:left="1417" w:header="708" w:footer="708" w:gutter="0"/>
          <w:cols w:space="708"/>
          <w:titlePg/>
          <w:docGrid w:linePitch="360"/>
        </w:sectPr>
      </w:pPr>
    </w:p>
    <w:p w:rsidR="007318B8" w:rsidRPr="005456F7" w:rsidRDefault="00AC11B4" w:rsidP="003C27D2">
      <w:pPr>
        <w:pStyle w:val="Paragraphedeliste"/>
        <w:numPr>
          <w:ilvl w:val="0"/>
          <w:numId w:val="8"/>
        </w:numPr>
        <w:spacing w:before="120" w:after="120"/>
        <w:jc w:val="both"/>
        <w:rPr>
          <w:rFonts w:ascii="Times New Roman" w:hAnsi="Times New Roman" w:cs="Times New Roman"/>
          <w:b/>
          <w:sz w:val="24"/>
          <w:szCs w:val="24"/>
        </w:rPr>
      </w:pPr>
      <w:r w:rsidRPr="005456F7">
        <w:rPr>
          <w:rFonts w:ascii="Times New Roman" w:hAnsi="Times New Roman" w:cs="Times New Roman"/>
          <w:b/>
          <w:sz w:val="24"/>
          <w:szCs w:val="24"/>
        </w:rPr>
        <w:lastRenderedPageBreak/>
        <w:t>Introductio</w:t>
      </w:r>
      <w:r w:rsidR="007318B8" w:rsidRPr="005456F7">
        <w:rPr>
          <w:rFonts w:ascii="Times New Roman" w:hAnsi="Times New Roman" w:cs="Times New Roman"/>
          <w:b/>
          <w:sz w:val="24"/>
          <w:szCs w:val="24"/>
        </w:rPr>
        <w:t>n</w:t>
      </w:r>
    </w:p>
    <w:p w:rsidR="00662661" w:rsidRDefault="00662661" w:rsidP="009258F9">
      <w:pPr>
        <w:spacing w:before="120" w:after="120"/>
        <w:jc w:val="both"/>
        <w:rPr>
          <w:rFonts w:ascii="Times New Roman" w:hAnsi="Times New Roman" w:cs="Times New Roman"/>
          <w:sz w:val="24"/>
          <w:szCs w:val="24"/>
        </w:rPr>
      </w:pPr>
      <w:r>
        <w:rPr>
          <w:rFonts w:ascii="Times New Roman" w:hAnsi="Times New Roman" w:cs="Times New Roman"/>
          <w:sz w:val="24"/>
          <w:szCs w:val="24"/>
        </w:rPr>
        <w:t>La croissance économique joue un rôle central dans la réduction de la pauvreté et il est admis que les pays qui ont fait du développement des échanges, un facteur déterminant de leurs stratégies connaissent des taux de croissance plus élevés </w:t>
      </w:r>
      <w:r>
        <w:rPr>
          <w:rFonts w:ascii="Times New Roman" w:eastAsia="Times New Roman" w:hAnsi="Times New Roman" w:cs="Times New Roman"/>
          <w:sz w:val="24"/>
          <w:szCs w:val="24"/>
        </w:rPr>
        <w:t xml:space="preserve">(Higgins et </w:t>
      </w:r>
      <w:proofErr w:type="spellStart"/>
      <w:r>
        <w:rPr>
          <w:rFonts w:ascii="Times New Roman" w:eastAsia="Times New Roman" w:hAnsi="Times New Roman" w:cs="Times New Roman"/>
          <w:sz w:val="24"/>
          <w:szCs w:val="24"/>
        </w:rPr>
        <w:t>Prowse</w:t>
      </w:r>
      <w:proofErr w:type="spellEnd"/>
      <w:r>
        <w:rPr>
          <w:rFonts w:ascii="Times New Roman" w:eastAsia="Times New Roman" w:hAnsi="Times New Roman" w:cs="Times New Roman"/>
          <w:sz w:val="24"/>
          <w:szCs w:val="24"/>
        </w:rPr>
        <w:t>, 2010)</w:t>
      </w:r>
      <w:r>
        <w:rPr>
          <w:rFonts w:ascii="Times New Roman" w:hAnsi="Times New Roman" w:cs="Times New Roman"/>
          <w:sz w:val="24"/>
          <w:szCs w:val="24"/>
        </w:rPr>
        <w:t xml:space="preserve">. Comment tirer avantage du commerce reste donc le grand challenge des pays en développement : des contraintes existent non seulement pour la participation au commerce mondial (OECD, 2009) mais aussi pour l’accès aux opportunités commerciales et le partage des gains commerciaux entre pays. </w:t>
      </w:r>
      <w:r w:rsidR="00D84573" w:rsidRPr="005456F7">
        <w:rPr>
          <w:rFonts w:ascii="Times New Roman" w:hAnsi="Times New Roman" w:cs="Times New Roman"/>
          <w:sz w:val="24"/>
          <w:szCs w:val="24"/>
        </w:rPr>
        <w:t>Pour la plupart, les Pays les Moins Avancés (PMA) sont des économies plus ou moins ouvertes et dont les produits et la croissance restent tributaires du commerce international et régional</w:t>
      </w:r>
      <w:r w:rsidR="007F354D" w:rsidRPr="005456F7">
        <w:rPr>
          <w:rFonts w:ascii="Times New Roman" w:hAnsi="Times New Roman" w:cs="Times New Roman"/>
          <w:sz w:val="24"/>
          <w:szCs w:val="24"/>
        </w:rPr>
        <w:t xml:space="preserve"> (</w:t>
      </w:r>
      <w:proofErr w:type="spellStart"/>
      <w:r w:rsidR="007F354D" w:rsidRPr="005456F7">
        <w:rPr>
          <w:rFonts w:ascii="Times New Roman" w:hAnsi="Times New Roman" w:cs="Times New Roman"/>
          <w:sz w:val="24"/>
          <w:szCs w:val="24"/>
        </w:rPr>
        <w:t>Rippel</w:t>
      </w:r>
      <w:proofErr w:type="spellEnd"/>
      <w:r w:rsidR="007F354D" w:rsidRPr="005456F7">
        <w:rPr>
          <w:rFonts w:ascii="Times New Roman" w:hAnsi="Times New Roman" w:cs="Times New Roman"/>
          <w:sz w:val="24"/>
          <w:szCs w:val="24"/>
        </w:rPr>
        <w:t>, 2011)</w:t>
      </w:r>
      <w:r w:rsidR="00D84573" w:rsidRPr="005456F7">
        <w:rPr>
          <w:rFonts w:ascii="Times New Roman" w:hAnsi="Times New Roman" w:cs="Times New Roman"/>
          <w:sz w:val="24"/>
          <w:szCs w:val="24"/>
        </w:rPr>
        <w:t xml:space="preserve">. En dépit de sa contribution marginale aux échanges commerciaux régionaux et mondiaux, le Bénin n’est pas une exception : l’étroitesse du marché intérieur et les limites du tissu productif font que le pays demeure importateur net de produits. </w:t>
      </w:r>
      <w:r w:rsidR="00B63931" w:rsidRPr="005456F7">
        <w:rPr>
          <w:rFonts w:ascii="Times New Roman" w:hAnsi="Times New Roman" w:cs="Times New Roman"/>
          <w:sz w:val="24"/>
          <w:szCs w:val="24"/>
        </w:rPr>
        <w:t>De ce point de vue, l</w:t>
      </w:r>
      <w:r w:rsidR="00D84573" w:rsidRPr="005456F7">
        <w:rPr>
          <w:rFonts w:ascii="Times New Roman" w:hAnsi="Times New Roman" w:cs="Times New Roman"/>
          <w:sz w:val="24"/>
          <w:szCs w:val="24"/>
        </w:rPr>
        <w:t>a taxe sur les importations et la promotion de</w:t>
      </w:r>
      <w:r w:rsidR="00B63931" w:rsidRPr="005456F7">
        <w:rPr>
          <w:rFonts w:ascii="Times New Roman" w:hAnsi="Times New Roman" w:cs="Times New Roman"/>
          <w:sz w:val="24"/>
          <w:szCs w:val="24"/>
        </w:rPr>
        <w:t xml:space="preserve">s </w:t>
      </w:r>
      <w:r w:rsidR="00D84573" w:rsidRPr="005456F7">
        <w:rPr>
          <w:rFonts w:ascii="Times New Roman" w:hAnsi="Times New Roman" w:cs="Times New Roman"/>
          <w:sz w:val="24"/>
          <w:szCs w:val="24"/>
        </w:rPr>
        <w:t>exportation</w:t>
      </w:r>
      <w:r w:rsidR="00B63931" w:rsidRPr="005456F7">
        <w:rPr>
          <w:rFonts w:ascii="Times New Roman" w:hAnsi="Times New Roman" w:cs="Times New Roman"/>
          <w:sz w:val="24"/>
          <w:szCs w:val="24"/>
        </w:rPr>
        <w:t>s</w:t>
      </w:r>
      <w:r w:rsidR="00D84573" w:rsidRPr="005456F7">
        <w:rPr>
          <w:rFonts w:ascii="Times New Roman" w:hAnsi="Times New Roman" w:cs="Times New Roman"/>
          <w:sz w:val="24"/>
          <w:szCs w:val="24"/>
        </w:rPr>
        <w:t xml:space="preserve"> constituent d’importants facteurs de croissance du revenu national et de développement.</w:t>
      </w:r>
      <w:r w:rsidR="002D5DA9" w:rsidRPr="005456F7">
        <w:rPr>
          <w:rFonts w:ascii="Times New Roman" w:hAnsi="Times New Roman" w:cs="Times New Roman"/>
          <w:sz w:val="24"/>
          <w:szCs w:val="24"/>
        </w:rPr>
        <w:t xml:space="preserve"> Seul port maritime </w:t>
      </w:r>
      <w:r w:rsidR="00612321" w:rsidRPr="005456F7">
        <w:rPr>
          <w:rFonts w:ascii="Times New Roman" w:hAnsi="Times New Roman" w:cs="Times New Roman"/>
          <w:sz w:val="24"/>
          <w:szCs w:val="24"/>
        </w:rPr>
        <w:t xml:space="preserve">du pays, le </w:t>
      </w:r>
      <w:r w:rsidR="00211258" w:rsidRPr="005456F7">
        <w:rPr>
          <w:rFonts w:ascii="Times New Roman" w:hAnsi="Times New Roman" w:cs="Times New Roman"/>
          <w:sz w:val="24"/>
          <w:szCs w:val="24"/>
        </w:rPr>
        <w:t xml:space="preserve">Port </w:t>
      </w:r>
      <w:r w:rsidR="00612321" w:rsidRPr="005456F7">
        <w:rPr>
          <w:rFonts w:ascii="Times New Roman" w:hAnsi="Times New Roman" w:cs="Times New Roman"/>
          <w:sz w:val="24"/>
          <w:szCs w:val="24"/>
        </w:rPr>
        <w:t xml:space="preserve">Autonome de Cotonou (PAC) </w:t>
      </w:r>
      <w:r w:rsidR="002D5DA9" w:rsidRPr="005456F7">
        <w:rPr>
          <w:rFonts w:ascii="Times New Roman" w:hAnsi="Times New Roman" w:cs="Times New Roman"/>
          <w:sz w:val="24"/>
          <w:szCs w:val="24"/>
        </w:rPr>
        <w:t>e</w:t>
      </w:r>
      <w:r w:rsidR="00612321" w:rsidRPr="005456F7">
        <w:rPr>
          <w:rFonts w:ascii="Times New Roman" w:hAnsi="Times New Roman" w:cs="Times New Roman"/>
          <w:sz w:val="24"/>
          <w:szCs w:val="24"/>
        </w:rPr>
        <w:t>s</w:t>
      </w:r>
      <w:r w:rsidR="002D5DA9" w:rsidRPr="005456F7">
        <w:rPr>
          <w:rFonts w:ascii="Times New Roman" w:hAnsi="Times New Roman" w:cs="Times New Roman"/>
          <w:sz w:val="24"/>
          <w:szCs w:val="24"/>
        </w:rPr>
        <w:t xml:space="preserve">t l’un des principaux </w:t>
      </w:r>
      <w:r w:rsidR="005819C3">
        <w:rPr>
          <w:rFonts w:ascii="Times New Roman" w:hAnsi="Times New Roman" w:cs="Times New Roman"/>
          <w:sz w:val="24"/>
          <w:szCs w:val="24"/>
        </w:rPr>
        <w:t>ports de</w:t>
      </w:r>
      <w:r w:rsidR="002D5DA9" w:rsidRPr="005456F7">
        <w:rPr>
          <w:rFonts w:ascii="Times New Roman" w:hAnsi="Times New Roman" w:cs="Times New Roman"/>
          <w:sz w:val="24"/>
          <w:szCs w:val="24"/>
        </w:rPr>
        <w:t xml:space="preserve"> la sous-région, du fait de son rôle de transi</w:t>
      </w:r>
      <w:r w:rsidR="00612321" w:rsidRPr="005456F7">
        <w:rPr>
          <w:rFonts w:ascii="Times New Roman" w:hAnsi="Times New Roman" w:cs="Times New Roman"/>
          <w:sz w:val="24"/>
          <w:szCs w:val="24"/>
        </w:rPr>
        <w:t xml:space="preserve">t pour les pays de l’hinterland. </w:t>
      </w:r>
      <w:r w:rsidR="00B63931" w:rsidRPr="005456F7">
        <w:rPr>
          <w:rFonts w:ascii="Times New Roman" w:hAnsi="Times New Roman" w:cs="Times New Roman"/>
          <w:sz w:val="24"/>
          <w:szCs w:val="24"/>
        </w:rPr>
        <w:t>I</w:t>
      </w:r>
      <w:r w:rsidR="00612321" w:rsidRPr="005456F7">
        <w:rPr>
          <w:rFonts w:ascii="Times New Roman" w:hAnsi="Times New Roman" w:cs="Times New Roman"/>
          <w:sz w:val="24"/>
          <w:szCs w:val="24"/>
        </w:rPr>
        <w:t xml:space="preserve">l </w:t>
      </w:r>
      <w:r w:rsidR="002D5DA9" w:rsidRPr="005456F7">
        <w:rPr>
          <w:rFonts w:ascii="Times New Roman" w:hAnsi="Times New Roman" w:cs="Times New Roman"/>
          <w:sz w:val="24"/>
          <w:szCs w:val="24"/>
        </w:rPr>
        <w:t xml:space="preserve">occupe </w:t>
      </w:r>
      <w:r w:rsidR="00B63931" w:rsidRPr="005456F7">
        <w:rPr>
          <w:rFonts w:ascii="Times New Roman" w:hAnsi="Times New Roman" w:cs="Times New Roman"/>
          <w:sz w:val="24"/>
          <w:szCs w:val="24"/>
        </w:rPr>
        <w:t xml:space="preserve">par ailleurs, </w:t>
      </w:r>
      <w:r w:rsidR="002D5DA9" w:rsidRPr="005456F7">
        <w:rPr>
          <w:rFonts w:ascii="Times New Roman" w:hAnsi="Times New Roman" w:cs="Times New Roman"/>
          <w:sz w:val="24"/>
          <w:szCs w:val="24"/>
        </w:rPr>
        <w:t>une pl</w:t>
      </w:r>
      <w:r w:rsidR="009258F9" w:rsidRPr="005456F7">
        <w:rPr>
          <w:rFonts w:ascii="Times New Roman" w:hAnsi="Times New Roman" w:cs="Times New Roman"/>
          <w:sz w:val="24"/>
          <w:szCs w:val="24"/>
        </w:rPr>
        <w:t>ace centrale dans l’économie béninoise</w:t>
      </w:r>
      <w:r w:rsidR="00612321" w:rsidRPr="005456F7">
        <w:rPr>
          <w:rFonts w:ascii="Times New Roman" w:hAnsi="Times New Roman" w:cs="Times New Roman"/>
          <w:sz w:val="24"/>
          <w:szCs w:val="24"/>
        </w:rPr>
        <w:t xml:space="preserve">, </w:t>
      </w:r>
      <w:r w:rsidR="00B775C0">
        <w:rPr>
          <w:rFonts w:ascii="Times New Roman" w:hAnsi="Times New Roman" w:cs="Times New Roman"/>
          <w:sz w:val="24"/>
          <w:szCs w:val="24"/>
        </w:rPr>
        <w:t>avec 90% du commerce extérieur, 45-50% des recettes fiscales et 80-85% des recettes douanières</w:t>
      </w:r>
      <w:r w:rsidR="005F5B10">
        <w:rPr>
          <w:rFonts w:ascii="Times New Roman" w:hAnsi="Times New Roman" w:cs="Times New Roman"/>
          <w:sz w:val="24"/>
          <w:szCs w:val="24"/>
        </w:rPr>
        <w:t>, principale composante des</w:t>
      </w:r>
      <w:r w:rsidR="00612321" w:rsidRPr="005456F7">
        <w:rPr>
          <w:rFonts w:ascii="Times New Roman" w:hAnsi="Times New Roman" w:cs="Times New Roman"/>
          <w:sz w:val="24"/>
          <w:szCs w:val="24"/>
        </w:rPr>
        <w:t xml:space="preserve"> ressources budgétaires intérieures</w:t>
      </w:r>
      <w:r w:rsidR="00A05915">
        <w:rPr>
          <w:rFonts w:ascii="Times New Roman" w:hAnsi="Times New Roman" w:cs="Times New Roman"/>
          <w:sz w:val="24"/>
          <w:szCs w:val="24"/>
        </w:rPr>
        <w:t xml:space="preserve"> (MCA Bénin, 2012)</w:t>
      </w:r>
      <w:r w:rsidR="009258F9" w:rsidRPr="005456F7">
        <w:rPr>
          <w:rFonts w:ascii="Times New Roman" w:hAnsi="Times New Roman" w:cs="Times New Roman"/>
          <w:sz w:val="24"/>
          <w:szCs w:val="24"/>
        </w:rPr>
        <w:t xml:space="preserve">. </w:t>
      </w:r>
    </w:p>
    <w:p w:rsidR="009258F9" w:rsidRPr="005456F7" w:rsidRDefault="009258F9" w:rsidP="009258F9">
      <w:pPr>
        <w:spacing w:before="120" w:after="120"/>
        <w:jc w:val="both"/>
        <w:rPr>
          <w:rFonts w:ascii="Times New Roman" w:hAnsi="Times New Roman" w:cs="Times New Roman"/>
          <w:sz w:val="24"/>
          <w:szCs w:val="24"/>
        </w:rPr>
      </w:pPr>
      <w:r w:rsidRPr="005456F7">
        <w:rPr>
          <w:rFonts w:ascii="Times New Roman" w:hAnsi="Times New Roman" w:cs="Times New Roman"/>
          <w:sz w:val="24"/>
          <w:szCs w:val="24"/>
        </w:rPr>
        <w:t xml:space="preserve">Opérant dans un environnement concurrentiel, l’amélioration </w:t>
      </w:r>
      <w:r w:rsidR="00846D88">
        <w:rPr>
          <w:rFonts w:ascii="Times New Roman" w:hAnsi="Times New Roman" w:cs="Times New Roman"/>
          <w:sz w:val="24"/>
          <w:szCs w:val="24"/>
        </w:rPr>
        <w:t>de la compétitivité économique</w:t>
      </w:r>
      <w:r w:rsidRPr="005456F7">
        <w:rPr>
          <w:rFonts w:ascii="Times New Roman" w:hAnsi="Times New Roman" w:cs="Times New Roman"/>
          <w:sz w:val="24"/>
          <w:szCs w:val="24"/>
        </w:rPr>
        <w:t xml:space="preserve"> implique des réformes portuaires orientées vers la qualité des prestations, la réduction des coûts et des durées de traitement, la célérité </w:t>
      </w:r>
      <w:r w:rsidR="005819C3">
        <w:rPr>
          <w:rFonts w:ascii="Times New Roman" w:hAnsi="Times New Roman" w:cs="Times New Roman"/>
          <w:sz w:val="24"/>
          <w:szCs w:val="24"/>
        </w:rPr>
        <w:t xml:space="preserve">ainsi que </w:t>
      </w:r>
      <w:r w:rsidRPr="005456F7">
        <w:rPr>
          <w:rFonts w:ascii="Times New Roman" w:hAnsi="Times New Roman" w:cs="Times New Roman"/>
          <w:sz w:val="24"/>
          <w:szCs w:val="24"/>
        </w:rPr>
        <w:t xml:space="preserve">la sécurité des services. </w:t>
      </w:r>
      <w:r w:rsidR="005819C3">
        <w:rPr>
          <w:rFonts w:ascii="Times New Roman" w:hAnsi="Times New Roman" w:cs="Times New Roman"/>
          <w:sz w:val="24"/>
          <w:szCs w:val="24"/>
        </w:rPr>
        <w:t>C’est d</w:t>
      </w:r>
      <w:r w:rsidRPr="005456F7">
        <w:rPr>
          <w:rFonts w:ascii="Times New Roman" w:hAnsi="Times New Roman" w:cs="Times New Roman"/>
          <w:sz w:val="24"/>
          <w:szCs w:val="24"/>
        </w:rPr>
        <w:t xml:space="preserve">ans ce cadre, </w:t>
      </w:r>
      <w:r w:rsidR="005819C3">
        <w:rPr>
          <w:rFonts w:ascii="Times New Roman" w:hAnsi="Times New Roman" w:cs="Times New Roman"/>
          <w:sz w:val="24"/>
          <w:szCs w:val="24"/>
        </w:rPr>
        <w:t xml:space="preserve">que </w:t>
      </w:r>
      <w:r w:rsidRPr="005456F7">
        <w:rPr>
          <w:rFonts w:ascii="Times New Roman" w:hAnsi="Times New Roman" w:cs="Times New Roman"/>
          <w:sz w:val="24"/>
          <w:szCs w:val="24"/>
        </w:rPr>
        <w:t xml:space="preserve">s’inscrit la facilitation du commerce </w:t>
      </w:r>
      <w:r w:rsidR="00846D88">
        <w:rPr>
          <w:rFonts w:ascii="Times New Roman" w:hAnsi="Times New Roman" w:cs="Times New Roman"/>
          <w:sz w:val="24"/>
          <w:szCs w:val="24"/>
        </w:rPr>
        <w:t>définie comme</w:t>
      </w:r>
      <w:r w:rsidRPr="005456F7">
        <w:rPr>
          <w:rFonts w:ascii="Times New Roman" w:hAnsi="Times New Roman" w:cs="Times New Roman"/>
          <w:sz w:val="24"/>
          <w:szCs w:val="24"/>
        </w:rPr>
        <w:t xml:space="preserve"> l’établissement d’un environnement transparent, prévisible et stable pour des échanges transfrontaliers. </w:t>
      </w:r>
      <w:r w:rsidR="00846D88">
        <w:rPr>
          <w:rFonts w:ascii="Times New Roman" w:hAnsi="Times New Roman" w:cs="Times New Roman"/>
          <w:sz w:val="24"/>
          <w:szCs w:val="24"/>
        </w:rPr>
        <w:t xml:space="preserve">Elle </w:t>
      </w:r>
      <w:r w:rsidR="00507F2C" w:rsidRPr="005456F7">
        <w:rPr>
          <w:rFonts w:ascii="Times New Roman" w:hAnsi="Times New Roman" w:cs="Times New Roman"/>
          <w:sz w:val="24"/>
          <w:szCs w:val="24"/>
        </w:rPr>
        <w:t xml:space="preserve">implique la simplification, l’harmonisation, la transparence, </w:t>
      </w:r>
      <w:r w:rsidR="00A61F2D" w:rsidRPr="005456F7">
        <w:rPr>
          <w:rFonts w:ascii="Times New Roman" w:hAnsi="Times New Roman" w:cs="Times New Roman"/>
          <w:sz w:val="24"/>
          <w:szCs w:val="24"/>
        </w:rPr>
        <w:t>le</w:t>
      </w:r>
      <w:r w:rsidR="00345FF1" w:rsidRPr="005456F7">
        <w:rPr>
          <w:rFonts w:ascii="Times New Roman" w:hAnsi="Times New Roman" w:cs="Times New Roman"/>
          <w:sz w:val="24"/>
          <w:szCs w:val="24"/>
        </w:rPr>
        <w:t xml:space="preserve"> </w:t>
      </w:r>
      <w:r w:rsidR="00507F2C" w:rsidRPr="005456F7">
        <w:rPr>
          <w:rFonts w:ascii="Times New Roman" w:hAnsi="Times New Roman" w:cs="Times New Roman"/>
          <w:sz w:val="24"/>
          <w:szCs w:val="24"/>
        </w:rPr>
        <w:t>partenariat, la coopération et la gestion des risques dans le domaine des échanges commerciaux</w:t>
      </w:r>
      <w:r w:rsidR="00846D88">
        <w:rPr>
          <w:rFonts w:ascii="Times New Roman" w:hAnsi="Times New Roman" w:cs="Times New Roman"/>
          <w:sz w:val="24"/>
          <w:szCs w:val="24"/>
        </w:rPr>
        <w:t xml:space="preserve"> (</w:t>
      </w:r>
      <w:r w:rsidR="00846D88" w:rsidRPr="00846D88">
        <w:rPr>
          <w:rFonts w:ascii="Times New Roman" w:hAnsi="Times New Roman" w:cs="Times New Roman"/>
          <w:sz w:val="24"/>
          <w:szCs w:val="24"/>
        </w:rPr>
        <w:t>Stiglitz</w:t>
      </w:r>
      <w:r w:rsidR="00846D88">
        <w:rPr>
          <w:rFonts w:ascii="Times New Roman" w:hAnsi="Times New Roman" w:cs="Times New Roman"/>
          <w:sz w:val="24"/>
          <w:szCs w:val="24"/>
        </w:rPr>
        <w:t xml:space="preserve"> et</w:t>
      </w:r>
      <w:r w:rsidR="00846D88" w:rsidRPr="00846D88">
        <w:rPr>
          <w:rFonts w:ascii="Times New Roman" w:hAnsi="Times New Roman" w:cs="Times New Roman"/>
          <w:sz w:val="24"/>
          <w:szCs w:val="24"/>
        </w:rPr>
        <w:t xml:space="preserve"> Charlton</w:t>
      </w:r>
      <w:r w:rsidR="00846D88">
        <w:rPr>
          <w:rFonts w:ascii="Times New Roman" w:hAnsi="Times New Roman" w:cs="Times New Roman"/>
          <w:sz w:val="24"/>
          <w:szCs w:val="24"/>
        </w:rPr>
        <w:t xml:space="preserve">, </w:t>
      </w:r>
      <w:r w:rsidR="00846D88" w:rsidRPr="00846D88">
        <w:rPr>
          <w:rFonts w:ascii="Times New Roman" w:hAnsi="Times New Roman" w:cs="Times New Roman"/>
          <w:sz w:val="24"/>
          <w:szCs w:val="24"/>
        </w:rPr>
        <w:t>2006</w:t>
      </w:r>
      <w:r w:rsidR="00846D88">
        <w:rPr>
          <w:rFonts w:ascii="Times New Roman" w:hAnsi="Times New Roman" w:cs="Times New Roman"/>
          <w:sz w:val="24"/>
          <w:szCs w:val="24"/>
        </w:rPr>
        <w:t>)</w:t>
      </w:r>
      <w:r w:rsidR="00507F2C" w:rsidRPr="005456F7">
        <w:rPr>
          <w:rFonts w:ascii="Times New Roman" w:hAnsi="Times New Roman" w:cs="Times New Roman"/>
          <w:sz w:val="24"/>
          <w:szCs w:val="24"/>
        </w:rPr>
        <w:t>. L</w:t>
      </w:r>
      <w:r w:rsidR="00825DFE" w:rsidRPr="005456F7">
        <w:rPr>
          <w:rFonts w:ascii="Times New Roman" w:hAnsi="Times New Roman" w:cs="Times New Roman"/>
          <w:sz w:val="24"/>
          <w:szCs w:val="24"/>
        </w:rPr>
        <w:t>es politiques de facilitation du commerce engagées a</w:t>
      </w:r>
      <w:r w:rsidR="00507F2C" w:rsidRPr="005456F7">
        <w:rPr>
          <w:rFonts w:ascii="Times New Roman" w:hAnsi="Times New Roman" w:cs="Times New Roman"/>
          <w:sz w:val="24"/>
          <w:szCs w:val="24"/>
        </w:rPr>
        <w:t xml:space="preserve">u Bénin sur la période récente </w:t>
      </w:r>
      <w:r w:rsidR="00B63931" w:rsidRPr="005456F7">
        <w:rPr>
          <w:rFonts w:ascii="Times New Roman" w:hAnsi="Times New Roman" w:cs="Times New Roman"/>
          <w:sz w:val="24"/>
          <w:szCs w:val="24"/>
        </w:rPr>
        <w:t xml:space="preserve">concernent </w:t>
      </w:r>
      <w:r w:rsidR="00825DFE" w:rsidRPr="005456F7">
        <w:rPr>
          <w:rFonts w:ascii="Times New Roman" w:hAnsi="Times New Roman" w:cs="Times New Roman"/>
          <w:sz w:val="24"/>
          <w:szCs w:val="24"/>
        </w:rPr>
        <w:t xml:space="preserve">notamment </w:t>
      </w:r>
      <w:r w:rsidR="00507F2C" w:rsidRPr="005456F7">
        <w:rPr>
          <w:rFonts w:ascii="Times New Roman" w:hAnsi="Times New Roman" w:cs="Times New Roman"/>
          <w:sz w:val="24"/>
          <w:szCs w:val="24"/>
        </w:rPr>
        <w:t>la plateforme portuaire</w:t>
      </w:r>
      <w:r w:rsidR="00B63931" w:rsidRPr="005456F7">
        <w:rPr>
          <w:rFonts w:ascii="Times New Roman" w:hAnsi="Times New Roman" w:cs="Times New Roman"/>
          <w:sz w:val="24"/>
          <w:szCs w:val="24"/>
        </w:rPr>
        <w:t> ;</w:t>
      </w:r>
      <w:r w:rsidR="00825DFE" w:rsidRPr="005456F7">
        <w:rPr>
          <w:rFonts w:ascii="Times New Roman" w:hAnsi="Times New Roman" w:cs="Times New Roman"/>
          <w:sz w:val="24"/>
          <w:szCs w:val="24"/>
        </w:rPr>
        <w:t xml:space="preserve"> </w:t>
      </w:r>
      <w:r w:rsidR="00B63931" w:rsidRPr="005456F7">
        <w:rPr>
          <w:rFonts w:ascii="Times New Roman" w:hAnsi="Times New Roman" w:cs="Times New Roman"/>
          <w:sz w:val="24"/>
          <w:szCs w:val="24"/>
        </w:rPr>
        <w:t xml:space="preserve">elles </w:t>
      </w:r>
      <w:r w:rsidR="00507F2C" w:rsidRPr="005456F7">
        <w:rPr>
          <w:rFonts w:ascii="Times New Roman" w:hAnsi="Times New Roman" w:cs="Times New Roman"/>
          <w:sz w:val="24"/>
          <w:szCs w:val="24"/>
        </w:rPr>
        <w:t xml:space="preserve">sont </w:t>
      </w:r>
      <w:r w:rsidR="00825DFE" w:rsidRPr="005456F7">
        <w:rPr>
          <w:rFonts w:ascii="Times New Roman" w:hAnsi="Times New Roman" w:cs="Times New Roman"/>
          <w:sz w:val="24"/>
          <w:szCs w:val="24"/>
        </w:rPr>
        <w:t>accompagn</w:t>
      </w:r>
      <w:r w:rsidR="00507F2C" w:rsidRPr="005456F7">
        <w:rPr>
          <w:rFonts w:ascii="Times New Roman" w:hAnsi="Times New Roman" w:cs="Times New Roman"/>
          <w:sz w:val="24"/>
          <w:szCs w:val="24"/>
        </w:rPr>
        <w:t>é</w:t>
      </w:r>
      <w:r w:rsidR="00825DFE" w:rsidRPr="005456F7">
        <w:rPr>
          <w:rFonts w:ascii="Times New Roman" w:hAnsi="Times New Roman" w:cs="Times New Roman"/>
          <w:sz w:val="24"/>
          <w:szCs w:val="24"/>
        </w:rPr>
        <w:t>e</w:t>
      </w:r>
      <w:r w:rsidR="00507F2C" w:rsidRPr="005456F7">
        <w:rPr>
          <w:rFonts w:ascii="Times New Roman" w:hAnsi="Times New Roman" w:cs="Times New Roman"/>
          <w:sz w:val="24"/>
          <w:szCs w:val="24"/>
        </w:rPr>
        <w:t>s</w:t>
      </w:r>
      <w:r w:rsidR="00825DFE" w:rsidRPr="005456F7">
        <w:rPr>
          <w:rFonts w:ascii="Times New Roman" w:hAnsi="Times New Roman" w:cs="Times New Roman"/>
          <w:sz w:val="24"/>
          <w:szCs w:val="24"/>
        </w:rPr>
        <w:t xml:space="preserve"> </w:t>
      </w:r>
      <w:r w:rsidR="00B63931" w:rsidRPr="005456F7">
        <w:rPr>
          <w:rFonts w:ascii="Times New Roman" w:hAnsi="Times New Roman" w:cs="Times New Roman"/>
          <w:sz w:val="24"/>
          <w:szCs w:val="24"/>
        </w:rPr>
        <w:t xml:space="preserve">de politiques </w:t>
      </w:r>
      <w:r w:rsidR="00825DFE" w:rsidRPr="005456F7">
        <w:rPr>
          <w:rFonts w:ascii="Times New Roman" w:hAnsi="Times New Roman" w:cs="Times New Roman"/>
          <w:sz w:val="24"/>
          <w:szCs w:val="24"/>
        </w:rPr>
        <w:t xml:space="preserve">d’infrastructures </w:t>
      </w:r>
      <w:r w:rsidR="00507F2C" w:rsidRPr="005456F7">
        <w:rPr>
          <w:rFonts w:ascii="Times New Roman" w:hAnsi="Times New Roman" w:cs="Times New Roman"/>
          <w:sz w:val="24"/>
          <w:szCs w:val="24"/>
        </w:rPr>
        <w:t xml:space="preserve">modernes et </w:t>
      </w:r>
      <w:r w:rsidR="00825DFE" w:rsidRPr="005456F7">
        <w:rPr>
          <w:rFonts w:ascii="Times New Roman" w:hAnsi="Times New Roman" w:cs="Times New Roman"/>
          <w:sz w:val="24"/>
          <w:szCs w:val="24"/>
        </w:rPr>
        <w:t>adéquates</w:t>
      </w:r>
      <w:r w:rsidR="00507F2C" w:rsidRPr="005456F7">
        <w:rPr>
          <w:rFonts w:ascii="Times New Roman" w:hAnsi="Times New Roman" w:cs="Times New Roman"/>
          <w:sz w:val="24"/>
          <w:szCs w:val="24"/>
        </w:rPr>
        <w:t xml:space="preserve">. </w:t>
      </w:r>
      <w:r w:rsidR="00B63931" w:rsidRPr="005456F7">
        <w:rPr>
          <w:rFonts w:ascii="Times New Roman" w:hAnsi="Times New Roman" w:cs="Times New Roman"/>
          <w:sz w:val="24"/>
          <w:szCs w:val="24"/>
        </w:rPr>
        <w:t xml:space="preserve">De façon générale, </w:t>
      </w:r>
      <w:r w:rsidR="005819C3">
        <w:rPr>
          <w:rFonts w:ascii="Times New Roman" w:hAnsi="Times New Roman" w:cs="Times New Roman"/>
          <w:sz w:val="24"/>
          <w:szCs w:val="24"/>
        </w:rPr>
        <w:t>l’importance d</w:t>
      </w:r>
      <w:r w:rsidR="004277A6" w:rsidRPr="005456F7">
        <w:rPr>
          <w:rFonts w:ascii="Times New Roman" w:hAnsi="Times New Roman" w:cs="Times New Roman"/>
          <w:sz w:val="24"/>
          <w:szCs w:val="24"/>
        </w:rPr>
        <w:t xml:space="preserve">es investissements et équipements </w:t>
      </w:r>
      <w:r w:rsidR="005819C3">
        <w:rPr>
          <w:rFonts w:ascii="Times New Roman" w:hAnsi="Times New Roman" w:cs="Times New Roman"/>
          <w:sz w:val="24"/>
          <w:szCs w:val="24"/>
        </w:rPr>
        <w:t xml:space="preserve">nécessaires </w:t>
      </w:r>
      <w:r w:rsidR="004277A6" w:rsidRPr="005456F7">
        <w:rPr>
          <w:rFonts w:ascii="Times New Roman" w:hAnsi="Times New Roman" w:cs="Times New Roman"/>
          <w:sz w:val="24"/>
          <w:szCs w:val="24"/>
        </w:rPr>
        <w:t xml:space="preserve">dans </w:t>
      </w:r>
      <w:r w:rsidR="00B63931" w:rsidRPr="005456F7">
        <w:rPr>
          <w:rFonts w:ascii="Times New Roman" w:hAnsi="Times New Roman" w:cs="Times New Roman"/>
          <w:sz w:val="24"/>
          <w:szCs w:val="24"/>
        </w:rPr>
        <w:t>c</w:t>
      </w:r>
      <w:r w:rsidR="004277A6" w:rsidRPr="005456F7">
        <w:rPr>
          <w:rFonts w:ascii="Times New Roman" w:hAnsi="Times New Roman" w:cs="Times New Roman"/>
          <w:sz w:val="24"/>
          <w:szCs w:val="24"/>
        </w:rPr>
        <w:t>e domaine</w:t>
      </w:r>
      <w:r w:rsidR="005819C3">
        <w:rPr>
          <w:rFonts w:ascii="Times New Roman" w:hAnsi="Times New Roman" w:cs="Times New Roman"/>
          <w:sz w:val="24"/>
          <w:szCs w:val="24"/>
        </w:rPr>
        <w:t>,</w:t>
      </w:r>
      <w:r w:rsidR="004277A6" w:rsidRPr="005456F7">
        <w:rPr>
          <w:rFonts w:ascii="Times New Roman" w:hAnsi="Times New Roman" w:cs="Times New Roman"/>
          <w:sz w:val="24"/>
          <w:szCs w:val="24"/>
        </w:rPr>
        <w:t xml:space="preserve"> </w:t>
      </w:r>
      <w:r w:rsidR="005819C3">
        <w:rPr>
          <w:rFonts w:ascii="Times New Roman" w:hAnsi="Times New Roman" w:cs="Times New Roman"/>
          <w:sz w:val="24"/>
          <w:szCs w:val="24"/>
        </w:rPr>
        <w:t xml:space="preserve">associée aux fortes contraintes budgétaires des PMA, font apparaître l’utilité de </w:t>
      </w:r>
      <w:r w:rsidR="004277A6" w:rsidRPr="005456F7">
        <w:rPr>
          <w:rFonts w:ascii="Times New Roman" w:hAnsi="Times New Roman" w:cs="Times New Roman"/>
          <w:sz w:val="24"/>
          <w:szCs w:val="24"/>
        </w:rPr>
        <w:t xml:space="preserve">l’aide publique au développement </w:t>
      </w:r>
      <w:r w:rsidR="005819C3">
        <w:rPr>
          <w:rFonts w:ascii="Times New Roman" w:hAnsi="Times New Roman" w:cs="Times New Roman"/>
          <w:sz w:val="24"/>
          <w:szCs w:val="24"/>
        </w:rPr>
        <w:t xml:space="preserve">dans les réformes de facilitation. </w:t>
      </w:r>
      <w:r w:rsidR="00D336D7" w:rsidRPr="005456F7">
        <w:rPr>
          <w:rFonts w:ascii="Times New Roman" w:hAnsi="Times New Roman" w:cs="Times New Roman"/>
          <w:sz w:val="24"/>
          <w:szCs w:val="24"/>
        </w:rPr>
        <w:t>C’est dans ce cadre que s’inscrit l’approche de "l’aide pour le commerce" visant à développer les capacités d’offre et les infrastructures d’échanges dans les pays en développement</w:t>
      </w:r>
      <w:r w:rsidR="005456F7" w:rsidRPr="005456F7">
        <w:rPr>
          <w:rFonts w:ascii="Times New Roman" w:hAnsi="Times New Roman" w:cs="Times New Roman"/>
          <w:sz w:val="24"/>
          <w:szCs w:val="24"/>
        </w:rPr>
        <w:t xml:space="preserve"> </w:t>
      </w:r>
      <w:r w:rsidR="005819C3">
        <w:rPr>
          <w:rFonts w:ascii="Times New Roman" w:hAnsi="Times New Roman" w:cs="Times New Roman"/>
          <w:sz w:val="24"/>
          <w:szCs w:val="24"/>
        </w:rPr>
        <w:t xml:space="preserve">afin de les rendre à même </w:t>
      </w:r>
      <w:r w:rsidR="005456F7" w:rsidRPr="005456F7">
        <w:rPr>
          <w:rFonts w:ascii="Times New Roman" w:hAnsi="Times New Roman" w:cs="Times New Roman"/>
          <w:sz w:val="24"/>
          <w:szCs w:val="24"/>
        </w:rPr>
        <w:t>de tirer avantages des accords commerciaux</w:t>
      </w:r>
      <w:r w:rsidR="00D336D7" w:rsidRPr="005456F7">
        <w:rPr>
          <w:rFonts w:ascii="Times New Roman" w:hAnsi="Times New Roman" w:cs="Times New Roman"/>
          <w:sz w:val="24"/>
          <w:szCs w:val="24"/>
        </w:rPr>
        <w:t xml:space="preserve">. </w:t>
      </w:r>
      <w:r w:rsidR="005456F7" w:rsidRPr="005456F7">
        <w:rPr>
          <w:rFonts w:ascii="Times New Roman" w:hAnsi="Times New Roman" w:cs="Times New Roman"/>
          <w:sz w:val="24"/>
          <w:szCs w:val="24"/>
        </w:rPr>
        <w:t xml:space="preserve">Dans </w:t>
      </w:r>
      <w:proofErr w:type="gramStart"/>
      <w:r w:rsidR="005456F7" w:rsidRPr="005456F7">
        <w:rPr>
          <w:rFonts w:ascii="Times New Roman" w:hAnsi="Times New Roman" w:cs="Times New Roman"/>
          <w:sz w:val="24"/>
          <w:szCs w:val="24"/>
        </w:rPr>
        <w:t>cette</w:t>
      </w:r>
      <w:proofErr w:type="gramEnd"/>
      <w:r w:rsidR="005456F7" w:rsidRPr="005456F7">
        <w:rPr>
          <w:rFonts w:ascii="Times New Roman" w:hAnsi="Times New Roman" w:cs="Times New Roman"/>
          <w:sz w:val="24"/>
          <w:szCs w:val="24"/>
        </w:rPr>
        <w:t xml:space="preserve"> perspective, le Bénin a bénéficié en 2006</w:t>
      </w:r>
      <w:r w:rsidR="0080345E">
        <w:rPr>
          <w:rStyle w:val="Appelnotedebasdep"/>
          <w:rFonts w:ascii="Times New Roman" w:hAnsi="Times New Roman" w:cs="Times New Roman"/>
          <w:sz w:val="24"/>
          <w:szCs w:val="24"/>
        </w:rPr>
        <w:footnoteReference w:id="1"/>
      </w:r>
      <w:r w:rsidR="005456F7" w:rsidRPr="005456F7">
        <w:rPr>
          <w:rFonts w:ascii="Times New Roman" w:hAnsi="Times New Roman" w:cs="Times New Roman"/>
          <w:sz w:val="24"/>
          <w:szCs w:val="24"/>
        </w:rPr>
        <w:t>,</w:t>
      </w:r>
      <w:r w:rsidR="004277A6" w:rsidRPr="005456F7">
        <w:rPr>
          <w:rFonts w:ascii="Times New Roman" w:hAnsi="Times New Roman" w:cs="Times New Roman"/>
          <w:sz w:val="24"/>
          <w:szCs w:val="24"/>
        </w:rPr>
        <w:t xml:space="preserve"> de l’initiative du</w:t>
      </w:r>
      <w:r w:rsidR="005456F7" w:rsidRPr="005456F7">
        <w:rPr>
          <w:rFonts w:ascii="Times New Roman" w:hAnsi="Times New Roman" w:cs="Times New Roman"/>
          <w:sz w:val="24"/>
          <w:szCs w:val="24"/>
        </w:rPr>
        <w:t xml:space="preserve"> </w:t>
      </w:r>
      <w:r w:rsidR="004277A6" w:rsidRPr="005456F7">
        <w:rPr>
          <w:rFonts w:ascii="Times New Roman" w:hAnsi="Times New Roman" w:cs="Times New Roman"/>
          <w:sz w:val="24"/>
          <w:szCs w:val="24"/>
        </w:rPr>
        <w:t xml:space="preserve">Gouvernement américain, le Programme </w:t>
      </w:r>
      <w:r w:rsidR="005819C3">
        <w:rPr>
          <w:rFonts w:ascii="Times New Roman" w:hAnsi="Times New Roman" w:cs="Times New Roman"/>
          <w:sz w:val="24"/>
          <w:szCs w:val="24"/>
        </w:rPr>
        <w:t>"</w:t>
      </w:r>
      <w:r w:rsidR="004277A6" w:rsidRPr="005456F7">
        <w:rPr>
          <w:rFonts w:ascii="Times New Roman" w:hAnsi="Times New Roman" w:cs="Times New Roman"/>
          <w:sz w:val="24"/>
          <w:szCs w:val="24"/>
        </w:rPr>
        <w:t xml:space="preserve">Millenium Challenge </w:t>
      </w:r>
      <w:proofErr w:type="spellStart"/>
      <w:r w:rsidR="004277A6" w:rsidRPr="005456F7">
        <w:rPr>
          <w:rFonts w:ascii="Times New Roman" w:hAnsi="Times New Roman" w:cs="Times New Roman"/>
          <w:sz w:val="24"/>
          <w:szCs w:val="24"/>
        </w:rPr>
        <w:t>Account</w:t>
      </w:r>
      <w:proofErr w:type="spellEnd"/>
      <w:r w:rsidR="004277A6" w:rsidRPr="005456F7">
        <w:rPr>
          <w:rFonts w:ascii="Times New Roman" w:hAnsi="Times New Roman" w:cs="Times New Roman"/>
          <w:sz w:val="24"/>
          <w:szCs w:val="24"/>
        </w:rPr>
        <w:t xml:space="preserve"> (MCA)</w:t>
      </w:r>
      <w:r w:rsidR="005819C3">
        <w:rPr>
          <w:rFonts w:ascii="Times New Roman" w:hAnsi="Times New Roman" w:cs="Times New Roman"/>
          <w:sz w:val="24"/>
          <w:szCs w:val="24"/>
        </w:rPr>
        <w:t>"</w:t>
      </w:r>
      <w:r w:rsidR="004277A6" w:rsidRPr="005456F7">
        <w:rPr>
          <w:rFonts w:ascii="Times New Roman" w:hAnsi="Times New Roman" w:cs="Times New Roman"/>
          <w:sz w:val="24"/>
          <w:szCs w:val="24"/>
        </w:rPr>
        <w:t>.</w:t>
      </w:r>
    </w:p>
    <w:p w:rsidR="0017677F" w:rsidRPr="005456F7" w:rsidRDefault="004277A6" w:rsidP="0017677F">
      <w:pPr>
        <w:spacing w:before="120" w:after="120"/>
        <w:jc w:val="both"/>
        <w:rPr>
          <w:rFonts w:ascii="Times New Roman" w:hAnsi="Times New Roman" w:cs="Times New Roman"/>
          <w:sz w:val="24"/>
          <w:szCs w:val="24"/>
        </w:rPr>
      </w:pPr>
      <w:r w:rsidRPr="005456F7">
        <w:rPr>
          <w:rFonts w:ascii="Times New Roman" w:hAnsi="Times New Roman" w:cs="Times New Roman"/>
          <w:sz w:val="24"/>
          <w:szCs w:val="24"/>
        </w:rPr>
        <w:t xml:space="preserve">Le MCA est une série d’investissements stratégiques visant à améliorer les infrastructures physiques et institutionnelles de base puis à accroître l’investissement et l’activité du secteur privé. D’une valeur </w:t>
      </w:r>
      <w:r w:rsidR="001D06A4" w:rsidRPr="005456F7">
        <w:rPr>
          <w:rFonts w:ascii="Times New Roman" w:hAnsi="Times New Roman" w:cs="Times New Roman"/>
          <w:sz w:val="24"/>
          <w:szCs w:val="24"/>
        </w:rPr>
        <w:t xml:space="preserve">d’environ </w:t>
      </w:r>
      <w:r w:rsidR="0080345E">
        <w:rPr>
          <w:rFonts w:ascii="Times New Roman" w:hAnsi="Times New Roman" w:cs="Times New Roman"/>
          <w:sz w:val="24"/>
          <w:szCs w:val="24"/>
        </w:rPr>
        <w:t>307.298</w:t>
      </w:r>
      <w:r w:rsidR="001D06A4" w:rsidRPr="005456F7">
        <w:rPr>
          <w:rFonts w:ascii="Times New Roman" w:hAnsi="Times New Roman" w:cs="Times New Roman"/>
          <w:sz w:val="24"/>
          <w:szCs w:val="24"/>
        </w:rPr>
        <w:t xml:space="preserve"> millions de dollars US, la principale composante du Programme reste le "Projet Marchés" avec </w:t>
      </w:r>
      <w:r w:rsidR="00B775C0">
        <w:rPr>
          <w:rFonts w:ascii="Times New Roman" w:hAnsi="Times New Roman" w:cs="Times New Roman"/>
          <w:sz w:val="24"/>
          <w:szCs w:val="24"/>
        </w:rPr>
        <w:t>61</w:t>
      </w:r>
      <w:r w:rsidR="001D06A4" w:rsidRPr="005456F7">
        <w:rPr>
          <w:rFonts w:ascii="Times New Roman" w:hAnsi="Times New Roman" w:cs="Times New Roman"/>
          <w:sz w:val="24"/>
          <w:szCs w:val="24"/>
        </w:rPr>
        <w:t>% des subventions</w:t>
      </w:r>
      <w:r w:rsidR="00B775C0">
        <w:rPr>
          <w:rFonts w:ascii="Times New Roman" w:hAnsi="Times New Roman" w:cs="Times New Roman"/>
          <w:sz w:val="24"/>
          <w:szCs w:val="24"/>
        </w:rPr>
        <w:t xml:space="preserve"> accordées dans le cadre de </w:t>
      </w:r>
      <w:r w:rsidR="00B775C0">
        <w:rPr>
          <w:rFonts w:ascii="Times New Roman" w:hAnsi="Times New Roman" w:cs="Times New Roman"/>
          <w:sz w:val="24"/>
          <w:szCs w:val="24"/>
        </w:rPr>
        <w:lastRenderedPageBreak/>
        <w:t>l’initiative (MCA Bénin, 2012)</w:t>
      </w:r>
      <w:r w:rsidR="001D06A4" w:rsidRPr="005456F7">
        <w:rPr>
          <w:rFonts w:ascii="Times New Roman" w:hAnsi="Times New Roman" w:cs="Times New Roman"/>
          <w:sz w:val="24"/>
          <w:szCs w:val="24"/>
        </w:rPr>
        <w:t xml:space="preserve">. </w:t>
      </w:r>
      <w:r w:rsidR="005456F7">
        <w:rPr>
          <w:rFonts w:ascii="Times New Roman" w:hAnsi="Times New Roman" w:cs="Times New Roman"/>
          <w:sz w:val="24"/>
          <w:szCs w:val="24"/>
        </w:rPr>
        <w:t xml:space="preserve">Fondamentalement, </w:t>
      </w:r>
      <w:r w:rsidR="00846D88">
        <w:rPr>
          <w:rFonts w:ascii="Times New Roman" w:hAnsi="Times New Roman" w:cs="Times New Roman"/>
          <w:sz w:val="24"/>
          <w:szCs w:val="24"/>
        </w:rPr>
        <w:t>cette composante</w:t>
      </w:r>
      <w:r w:rsidR="001D06A4" w:rsidRPr="005456F7">
        <w:rPr>
          <w:rFonts w:ascii="Times New Roman" w:hAnsi="Times New Roman" w:cs="Times New Roman"/>
          <w:sz w:val="24"/>
          <w:szCs w:val="24"/>
        </w:rPr>
        <w:t xml:space="preserve"> vise à promouvoir l’accès aux marchés par une amélioration des opérations portuaires et des infrastructures</w:t>
      </w:r>
      <w:r w:rsidR="00B775C0">
        <w:rPr>
          <w:rFonts w:ascii="Times New Roman" w:hAnsi="Times New Roman" w:cs="Times New Roman"/>
          <w:sz w:val="24"/>
          <w:szCs w:val="24"/>
        </w:rPr>
        <w:t xml:space="preserve">. Elle cherche </w:t>
      </w:r>
      <w:r w:rsidR="001D06A4" w:rsidRPr="005456F7">
        <w:rPr>
          <w:rFonts w:ascii="Times New Roman" w:hAnsi="Times New Roman" w:cs="Times New Roman"/>
          <w:sz w:val="24"/>
          <w:szCs w:val="24"/>
        </w:rPr>
        <w:t xml:space="preserve">en outre à améliorer la </w:t>
      </w:r>
      <w:r w:rsidR="00B775C0">
        <w:rPr>
          <w:rFonts w:ascii="Times New Roman" w:hAnsi="Times New Roman" w:cs="Times New Roman"/>
          <w:sz w:val="24"/>
          <w:szCs w:val="24"/>
        </w:rPr>
        <w:t xml:space="preserve">compétitivité, la </w:t>
      </w:r>
      <w:r w:rsidR="001D06A4" w:rsidRPr="005456F7">
        <w:rPr>
          <w:rFonts w:ascii="Times New Roman" w:hAnsi="Times New Roman" w:cs="Times New Roman"/>
          <w:sz w:val="24"/>
          <w:szCs w:val="24"/>
        </w:rPr>
        <w:t>performance et la sécurité portuaire</w:t>
      </w:r>
      <w:r w:rsidR="005456F7">
        <w:rPr>
          <w:rFonts w:ascii="Times New Roman" w:hAnsi="Times New Roman" w:cs="Times New Roman"/>
          <w:sz w:val="24"/>
          <w:szCs w:val="24"/>
        </w:rPr>
        <w:t>s</w:t>
      </w:r>
      <w:r w:rsidR="00B775C0">
        <w:rPr>
          <w:rFonts w:ascii="Times New Roman" w:hAnsi="Times New Roman" w:cs="Times New Roman"/>
          <w:sz w:val="24"/>
          <w:szCs w:val="24"/>
        </w:rPr>
        <w:t xml:space="preserve"> grâce à la modernisation des infrastructures, des systèmes de gestion et des réformes institutionnelles</w:t>
      </w:r>
      <w:r w:rsidR="001D06A4" w:rsidRPr="005456F7">
        <w:rPr>
          <w:rFonts w:ascii="Times New Roman" w:hAnsi="Times New Roman" w:cs="Times New Roman"/>
          <w:sz w:val="24"/>
          <w:szCs w:val="24"/>
        </w:rPr>
        <w:t>,</w:t>
      </w:r>
      <w:r w:rsidR="005456F7">
        <w:rPr>
          <w:rFonts w:ascii="Times New Roman" w:hAnsi="Times New Roman" w:cs="Times New Roman"/>
          <w:sz w:val="24"/>
          <w:szCs w:val="24"/>
        </w:rPr>
        <w:t xml:space="preserve"> de façon à</w:t>
      </w:r>
      <w:r w:rsidR="001D06A4" w:rsidRPr="005456F7">
        <w:rPr>
          <w:rFonts w:ascii="Times New Roman" w:hAnsi="Times New Roman" w:cs="Times New Roman"/>
          <w:sz w:val="24"/>
          <w:szCs w:val="24"/>
        </w:rPr>
        <w:t xml:space="preserve"> accroître sa capacité et réduire les coûts de transaction.</w:t>
      </w:r>
      <w:r w:rsidR="004F1E14" w:rsidRPr="005456F7">
        <w:rPr>
          <w:rFonts w:ascii="Times New Roman" w:hAnsi="Times New Roman" w:cs="Times New Roman"/>
          <w:sz w:val="24"/>
          <w:szCs w:val="24"/>
        </w:rPr>
        <w:t xml:space="preserve"> Dans le cadre de cet appui bilatéral des USA, la recherche de l’efficacité au PAC </w:t>
      </w:r>
      <w:r w:rsidR="005819C3">
        <w:rPr>
          <w:rFonts w:ascii="Times New Roman" w:hAnsi="Times New Roman" w:cs="Times New Roman"/>
          <w:sz w:val="24"/>
          <w:szCs w:val="24"/>
        </w:rPr>
        <w:t xml:space="preserve">vise à </w:t>
      </w:r>
      <w:r w:rsidR="004F1E14" w:rsidRPr="005456F7">
        <w:rPr>
          <w:rFonts w:ascii="Times New Roman" w:hAnsi="Times New Roman" w:cs="Times New Roman"/>
          <w:sz w:val="24"/>
          <w:szCs w:val="24"/>
        </w:rPr>
        <w:t>contribuer à plus de valeur ajoutée pour l’importateur et l’exportateur, étant donné la réduction des coûts et durées mais aussi la qualité des opérations portuaires.</w:t>
      </w:r>
      <w:r w:rsidR="0017677F" w:rsidRPr="0017677F">
        <w:rPr>
          <w:rFonts w:ascii="Times New Roman" w:eastAsia="Times New Roman" w:hAnsi="Times New Roman" w:cs="Times New Roman"/>
          <w:sz w:val="24"/>
          <w:szCs w:val="24"/>
        </w:rPr>
        <w:t xml:space="preserve"> </w:t>
      </w:r>
      <w:r w:rsidR="0017677F" w:rsidRPr="005456F7">
        <w:rPr>
          <w:rFonts w:ascii="Times New Roman" w:eastAsia="Times New Roman" w:hAnsi="Times New Roman" w:cs="Times New Roman"/>
          <w:sz w:val="24"/>
          <w:szCs w:val="24"/>
        </w:rPr>
        <w:t xml:space="preserve">Théoriquement, les investissements dans les infrastructures portuaires </w:t>
      </w:r>
      <w:r w:rsidR="0017677F">
        <w:rPr>
          <w:rFonts w:ascii="Times New Roman" w:eastAsia="Times New Roman" w:hAnsi="Times New Roman" w:cs="Times New Roman"/>
          <w:sz w:val="24"/>
          <w:szCs w:val="24"/>
        </w:rPr>
        <w:t>devrai</w:t>
      </w:r>
      <w:r w:rsidR="0017677F" w:rsidRPr="005456F7">
        <w:rPr>
          <w:rFonts w:ascii="Times New Roman" w:eastAsia="Times New Roman" w:hAnsi="Times New Roman" w:cs="Times New Roman"/>
          <w:sz w:val="24"/>
          <w:szCs w:val="24"/>
        </w:rPr>
        <w:t xml:space="preserve">ent </w:t>
      </w:r>
      <w:r w:rsidR="0017677F">
        <w:rPr>
          <w:rFonts w:ascii="Times New Roman" w:eastAsia="Times New Roman" w:hAnsi="Times New Roman" w:cs="Times New Roman"/>
          <w:sz w:val="24"/>
          <w:szCs w:val="24"/>
        </w:rPr>
        <w:t xml:space="preserve">permettre de </w:t>
      </w:r>
      <w:r w:rsidR="0017677F" w:rsidRPr="005456F7">
        <w:rPr>
          <w:rFonts w:ascii="Times New Roman" w:eastAsia="Times New Roman" w:hAnsi="Times New Roman" w:cs="Times New Roman"/>
          <w:sz w:val="24"/>
          <w:szCs w:val="24"/>
        </w:rPr>
        <w:t xml:space="preserve">dynamiser et </w:t>
      </w:r>
      <w:r w:rsidR="0017677F">
        <w:rPr>
          <w:rFonts w:ascii="Times New Roman" w:eastAsia="Times New Roman" w:hAnsi="Times New Roman" w:cs="Times New Roman"/>
          <w:sz w:val="24"/>
          <w:szCs w:val="24"/>
        </w:rPr>
        <w:t>d’</w:t>
      </w:r>
      <w:r w:rsidR="0017677F" w:rsidRPr="005456F7">
        <w:rPr>
          <w:rFonts w:ascii="Times New Roman" w:eastAsia="Times New Roman" w:hAnsi="Times New Roman" w:cs="Times New Roman"/>
          <w:sz w:val="24"/>
          <w:szCs w:val="24"/>
        </w:rPr>
        <w:t xml:space="preserve">accroître substantiellement le volume des échanges commerciaux, mais aussi le climat des affaires. </w:t>
      </w:r>
    </w:p>
    <w:p w:rsidR="004F1E14" w:rsidRPr="005456F7" w:rsidRDefault="005456F7" w:rsidP="009258F9">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Cette recherche </w:t>
      </w:r>
      <w:proofErr w:type="gramStart"/>
      <w:r w:rsidR="00846D88">
        <w:rPr>
          <w:rFonts w:ascii="Times New Roman" w:hAnsi="Times New Roman" w:cs="Times New Roman"/>
          <w:sz w:val="24"/>
          <w:szCs w:val="24"/>
        </w:rPr>
        <w:t>s’inscrit</w:t>
      </w:r>
      <w:proofErr w:type="gramEnd"/>
      <w:r w:rsidR="00846D88">
        <w:rPr>
          <w:rFonts w:ascii="Times New Roman" w:hAnsi="Times New Roman" w:cs="Times New Roman"/>
          <w:sz w:val="24"/>
          <w:szCs w:val="24"/>
        </w:rPr>
        <w:t xml:space="preserve"> </w:t>
      </w:r>
      <w:r w:rsidR="004F1E14" w:rsidRPr="005456F7">
        <w:rPr>
          <w:rFonts w:ascii="Times New Roman" w:hAnsi="Times New Roman" w:cs="Times New Roman"/>
          <w:sz w:val="24"/>
          <w:szCs w:val="24"/>
        </w:rPr>
        <w:t>dans le cadre de la Vème Revue Globale de l’Aide pour le Commerce</w:t>
      </w:r>
      <w:r w:rsidR="00846D88">
        <w:rPr>
          <w:rFonts w:ascii="Times New Roman" w:hAnsi="Times New Roman" w:cs="Times New Roman"/>
          <w:sz w:val="24"/>
          <w:szCs w:val="24"/>
        </w:rPr>
        <w:t> ; elle est</w:t>
      </w:r>
      <w:r w:rsidR="004F1E14" w:rsidRPr="005456F7">
        <w:rPr>
          <w:rFonts w:ascii="Times New Roman" w:hAnsi="Times New Roman" w:cs="Times New Roman"/>
          <w:sz w:val="24"/>
          <w:szCs w:val="24"/>
        </w:rPr>
        <w:t xml:space="preserve"> initiée par la Chaire OMC CIDI </w:t>
      </w:r>
      <w:r>
        <w:rPr>
          <w:rFonts w:ascii="Times New Roman" w:hAnsi="Times New Roman" w:cs="Times New Roman"/>
          <w:sz w:val="24"/>
          <w:szCs w:val="24"/>
        </w:rPr>
        <w:t xml:space="preserve">de </w:t>
      </w:r>
      <w:r w:rsidR="004F1E14" w:rsidRPr="005456F7">
        <w:rPr>
          <w:rFonts w:ascii="Times New Roman" w:hAnsi="Times New Roman" w:cs="Times New Roman"/>
          <w:sz w:val="24"/>
          <w:szCs w:val="24"/>
        </w:rPr>
        <w:t xml:space="preserve">Cotonou </w:t>
      </w:r>
      <w:r w:rsidR="00846D88">
        <w:rPr>
          <w:rFonts w:ascii="Times New Roman" w:hAnsi="Times New Roman" w:cs="Times New Roman"/>
          <w:sz w:val="24"/>
          <w:szCs w:val="24"/>
        </w:rPr>
        <w:t xml:space="preserve">et </w:t>
      </w:r>
      <w:r w:rsidR="004F1E14" w:rsidRPr="005456F7">
        <w:rPr>
          <w:rFonts w:ascii="Times New Roman" w:hAnsi="Times New Roman" w:cs="Times New Roman"/>
          <w:sz w:val="24"/>
          <w:szCs w:val="24"/>
        </w:rPr>
        <w:t xml:space="preserve">vise à apprécier </w:t>
      </w:r>
      <w:r w:rsidR="00846D88">
        <w:rPr>
          <w:rFonts w:ascii="Times New Roman" w:hAnsi="Times New Roman" w:cs="Times New Roman"/>
          <w:sz w:val="24"/>
          <w:szCs w:val="24"/>
        </w:rPr>
        <w:t>l</w:t>
      </w:r>
      <w:r w:rsidR="004F1E14" w:rsidRPr="005456F7">
        <w:rPr>
          <w:rFonts w:ascii="Times New Roman" w:hAnsi="Times New Roman" w:cs="Times New Roman"/>
          <w:sz w:val="24"/>
          <w:szCs w:val="24"/>
        </w:rPr>
        <w:t xml:space="preserve">es différents effets </w:t>
      </w:r>
      <w:r w:rsidR="005819C3">
        <w:rPr>
          <w:rFonts w:ascii="Times New Roman" w:hAnsi="Times New Roman" w:cs="Times New Roman"/>
          <w:sz w:val="24"/>
          <w:szCs w:val="24"/>
        </w:rPr>
        <w:t>en lien avec les réformes entreprises dans le d</w:t>
      </w:r>
      <w:r w:rsidR="00846D88" w:rsidRPr="005456F7">
        <w:rPr>
          <w:rFonts w:ascii="Times New Roman" w:hAnsi="Times New Roman" w:cs="Times New Roman"/>
          <w:sz w:val="24"/>
          <w:szCs w:val="24"/>
        </w:rPr>
        <w:t>oma</w:t>
      </w:r>
      <w:r w:rsidR="00846D88">
        <w:rPr>
          <w:rFonts w:ascii="Times New Roman" w:hAnsi="Times New Roman" w:cs="Times New Roman"/>
          <w:sz w:val="24"/>
          <w:szCs w:val="24"/>
        </w:rPr>
        <w:t xml:space="preserve">ine du Port Autonome de Cotonou </w:t>
      </w:r>
      <w:r w:rsidR="005819C3">
        <w:rPr>
          <w:rFonts w:ascii="Times New Roman" w:hAnsi="Times New Roman" w:cs="Times New Roman"/>
          <w:sz w:val="24"/>
          <w:szCs w:val="24"/>
        </w:rPr>
        <w:t>et du commerce transfrontalier dans le cadre du Programme MCA au Bénin</w:t>
      </w:r>
      <w:r w:rsidR="004F1E14" w:rsidRPr="005456F7">
        <w:rPr>
          <w:rFonts w:ascii="Times New Roman" w:hAnsi="Times New Roman" w:cs="Times New Roman"/>
          <w:sz w:val="24"/>
          <w:szCs w:val="24"/>
        </w:rPr>
        <w:t>.</w:t>
      </w:r>
      <w:r w:rsidR="007F354D" w:rsidRPr="005456F7">
        <w:rPr>
          <w:rFonts w:ascii="Times New Roman" w:hAnsi="Times New Roman" w:cs="Times New Roman"/>
          <w:sz w:val="24"/>
          <w:szCs w:val="24"/>
        </w:rPr>
        <w:t xml:space="preserve"> L</w:t>
      </w:r>
      <w:r w:rsidR="00612321" w:rsidRPr="005456F7">
        <w:rPr>
          <w:rFonts w:ascii="Times New Roman" w:hAnsi="Times New Roman" w:cs="Times New Roman"/>
          <w:sz w:val="24"/>
          <w:szCs w:val="24"/>
        </w:rPr>
        <w:t>’étude</w:t>
      </w:r>
      <w:r w:rsidR="007F354D" w:rsidRPr="005456F7">
        <w:rPr>
          <w:rFonts w:ascii="Times New Roman" w:hAnsi="Times New Roman" w:cs="Times New Roman"/>
          <w:sz w:val="24"/>
          <w:szCs w:val="24"/>
        </w:rPr>
        <w:t xml:space="preserve"> est organisé</w:t>
      </w:r>
      <w:r w:rsidR="00612321" w:rsidRPr="005456F7">
        <w:rPr>
          <w:rFonts w:ascii="Times New Roman" w:hAnsi="Times New Roman" w:cs="Times New Roman"/>
          <w:sz w:val="24"/>
          <w:szCs w:val="24"/>
        </w:rPr>
        <w:t>e</w:t>
      </w:r>
      <w:r w:rsidR="007F354D" w:rsidRPr="005456F7">
        <w:rPr>
          <w:rFonts w:ascii="Times New Roman" w:hAnsi="Times New Roman" w:cs="Times New Roman"/>
          <w:sz w:val="24"/>
          <w:szCs w:val="24"/>
        </w:rPr>
        <w:t xml:space="preserve"> en </w:t>
      </w:r>
      <w:r w:rsidR="00C14C48">
        <w:rPr>
          <w:rFonts w:ascii="Times New Roman" w:hAnsi="Times New Roman" w:cs="Times New Roman"/>
          <w:sz w:val="24"/>
          <w:szCs w:val="24"/>
        </w:rPr>
        <w:t>s</w:t>
      </w:r>
      <w:r w:rsidR="001E3D02">
        <w:rPr>
          <w:rFonts w:ascii="Times New Roman" w:hAnsi="Times New Roman" w:cs="Times New Roman"/>
          <w:sz w:val="24"/>
          <w:szCs w:val="24"/>
        </w:rPr>
        <w:t>ix</w:t>
      </w:r>
      <w:r w:rsidR="00C14C48">
        <w:rPr>
          <w:rFonts w:ascii="Times New Roman" w:hAnsi="Times New Roman" w:cs="Times New Roman"/>
          <w:sz w:val="24"/>
          <w:szCs w:val="24"/>
        </w:rPr>
        <w:t xml:space="preserve"> </w:t>
      </w:r>
      <w:r w:rsidR="007F354D" w:rsidRPr="005456F7">
        <w:rPr>
          <w:rFonts w:ascii="Times New Roman" w:hAnsi="Times New Roman" w:cs="Times New Roman"/>
          <w:sz w:val="24"/>
          <w:szCs w:val="24"/>
        </w:rPr>
        <w:t xml:space="preserve">sections. Après la première section </w:t>
      </w:r>
      <w:r w:rsidR="009D2922" w:rsidRPr="005456F7">
        <w:rPr>
          <w:rFonts w:ascii="Times New Roman" w:hAnsi="Times New Roman" w:cs="Times New Roman"/>
          <w:sz w:val="24"/>
          <w:szCs w:val="24"/>
        </w:rPr>
        <w:t>introductive</w:t>
      </w:r>
      <w:r w:rsidR="007F354D" w:rsidRPr="005456F7">
        <w:rPr>
          <w:rFonts w:ascii="Times New Roman" w:hAnsi="Times New Roman" w:cs="Times New Roman"/>
          <w:sz w:val="24"/>
          <w:szCs w:val="24"/>
        </w:rPr>
        <w:t xml:space="preserve">, la section 2 revient </w:t>
      </w:r>
      <w:r w:rsidR="00820367">
        <w:rPr>
          <w:rFonts w:ascii="Times New Roman" w:hAnsi="Times New Roman" w:cs="Times New Roman"/>
          <w:sz w:val="24"/>
          <w:szCs w:val="24"/>
        </w:rPr>
        <w:t xml:space="preserve">sur </w:t>
      </w:r>
      <w:r>
        <w:rPr>
          <w:rFonts w:ascii="Times New Roman" w:hAnsi="Times New Roman" w:cs="Times New Roman"/>
          <w:sz w:val="24"/>
          <w:szCs w:val="24"/>
        </w:rPr>
        <w:t>la problématique découlant de quelques faits stylisés</w:t>
      </w:r>
      <w:r w:rsidR="005819C3">
        <w:rPr>
          <w:rFonts w:ascii="Times New Roman" w:hAnsi="Times New Roman" w:cs="Times New Roman"/>
          <w:sz w:val="24"/>
          <w:szCs w:val="24"/>
        </w:rPr>
        <w:t xml:space="preserve"> basés sur </w:t>
      </w:r>
      <w:r w:rsidR="00820367">
        <w:rPr>
          <w:rFonts w:ascii="Times New Roman" w:hAnsi="Times New Roman" w:cs="Times New Roman"/>
          <w:sz w:val="24"/>
          <w:szCs w:val="24"/>
        </w:rPr>
        <w:t>l</w:t>
      </w:r>
      <w:r w:rsidR="007F354D" w:rsidRPr="005456F7">
        <w:rPr>
          <w:rFonts w:ascii="Times New Roman" w:hAnsi="Times New Roman" w:cs="Times New Roman"/>
          <w:sz w:val="24"/>
          <w:szCs w:val="24"/>
        </w:rPr>
        <w:t xml:space="preserve">es </w:t>
      </w:r>
      <w:r w:rsidR="00194951" w:rsidRPr="005456F7">
        <w:rPr>
          <w:rFonts w:ascii="Times New Roman" w:hAnsi="Times New Roman" w:cs="Times New Roman"/>
          <w:sz w:val="24"/>
          <w:szCs w:val="24"/>
        </w:rPr>
        <w:t>différents axes de réformes dans le cadre de l’appui</w:t>
      </w:r>
      <w:r w:rsidR="00C14C48">
        <w:rPr>
          <w:rFonts w:ascii="Times New Roman" w:hAnsi="Times New Roman" w:cs="Times New Roman"/>
          <w:sz w:val="24"/>
          <w:szCs w:val="24"/>
        </w:rPr>
        <w:t xml:space="preserve"> financier</w:t>
      </w:r>
      <w:r w:rsidR="00194951" w:rsidRPr="005456F7">
        <w:rPr>
          <w:rFonts w:ascii="Times New Roman" w:hAnsi="Times New Roman" w:cs="Times New Roman"/>
          <w:sz w:val="24"/>
          <w:szCs w:val="24"/>
        </w:rPr>
        <w:t xml:space="preserve">. La section </w:t>
      </w:r>
      <w:r w:rsidR="00820367">
        <w:rPr>
          <w:rFonts w:ascii="Times New Roman" w:hAnsi="Times New Roman" w:cs="Times New Roman"/>
          <w:sz w:val="24"/>
          <w:szCs w:val="24"/>
        </w:rPr>
        <w:t>3</w:t>
      </w:r>
      <w:r w:rsidR="00C14C48">
        <w:rPr>
          <w:rFonts w:ascii="Times New Roman" w:hAnsi="Times New Roman" w:cs="Times New Roman"/>
          <w:sz w:val="24"/>
          <w:szCs w:val="24"/>
        </w:rPr>
        <w:t xml:space="preserve"> est une revue de </w:t>
      </w:r>
      <w:r w:rsidR="005819C3">
        <w:rPr>
          <w:rFonts w:ascii="Times New Roman" w:hAnsi="Times New Roman" w:cs="Times New Roman"/>
          <w:sz w:val="24"/>
          <w:szCs w:val="24"/>
        </w:rPr>
        <w:t xml:space="preserve">la </w:t>
      </w:r>
      <w:r w:rsidR="00C14C48">
        <w:rPr>
          <w:rFonts w:ascii="Times New Roman" w:hAnsi="Times New Roman" w:cs="Times New Roman"/>
          <w:sz w:val="24"/>
          <w:szCs w:val="24"/>
        </w:rPr>
        <w:t xml:space="preserve">littérature théorique et empirique sur les effets de l’aide dans le commerce et la croissance. Dans la section </w:t>
      </w:r>
      <w:r w:rsidR="00FC02E0">
        <w:rPr>
          <w:rFonts w:ascii="Times New Roman" w:hAnsi="Times New Roman" w:cs="Times New Roman"/>
          <w:sz w:val="24"/>
          <w:szCs w:val="24"/>
        </w:rPr>
        <w:t>4</w:t>
      </w:r>
      <w:r w:rsidR="00C14C48">
        <w:rPr>
          <w:rFonts w:ascii="Times New Roman" w:hAnsi="Times New Roman" w:cs="Times New Roman"/>
          <w:sz w:val="24"/>
          <w:szCs w:val="24"/>
        </w:rPr>
        <w:t xml:space="preserve">, </w:t>
      </w:r>
      <w:r w:rsidR="00194951" w:rsidRPr="005456F7">
        <w:rPr>
          <w:rFonts w:ascii="Times New Roman" w:hAnsi="Times New Roman" w:cs="Times New Roman"/>
          <w:sz w:val="24"/>
          <w:szCs w:val="24"/>
        </w:rPr>
        <w:t xml:space="preserve">la méthodologie </w:t>
      </w:r>
      <w:r w:rsidR="005819C3">
        <w:rPr>
          <w:rFonts w:ascii="Times New Roman" w:hAnsi="Times New Roman" w:cs="Times New Roman"/>
          <w:sz w:val="24"/>
          <w:szCs w:val="24"/>
        </w:rPr>
        <w:t xml:space="preserve">est présentée </w:t>
      </w:r>
      <w:r w:rsidR="00194951" w:rsidRPr="005456F7">
        <w:rPr>
          <w:rFonts w:ascii="Times New Roman" w:hAnsi="Times New Roman" w:cs="Times New Roman"/>
          <w:sz w:val="24"/>
          <w:szCs w:val="24"/>
        </w:rPr>
        <w:t xml:space="preserve">suivant les deux approches </w:t>
      </w:r>
      <w:r w:rsidR="00D9166A" w:rsidRPr="005456F7">
        <w:rPr>
          <w:rFonts w:ascii="Times New Roman" w:hAnsi="Times New Roman" w:cs="Times New Roman"/>
          <w:sz w:val="24"/>
          <w:szCs w:val="24"/>
        </w:rPr>
        <w:t xml:space="preserve">d’analyse de dynamique </w:t>
      </w:r>
      <w:r w:rsidR="005819C3">
        <w:rPr>
          <w:rFonts w:ascii="Times New Roman" w:hAnsi="Times New Roman" w:cs="Times New Roman"/>
          <w:sz w:val="24"/>
          <w:szCs w:val="24"/>
        </w:rPr>
        <w:t xml:space="preserve">des indicateurs et de modèle explicatif des importations. </w:t>
      </w:r>
      <w:r w:rsidR="00C14C48">
        <w:rPr>
          <w:rFonts w:ascii="Times New Roman" w:hAnsi="Times New Roman" w:cs="Times New Roman"/>
          <w:sz w:val="24"/>
          <w:szCs w:val="24"/>
        </w:rPr>
        <w:t xml:space="preserve"> </w:t>
      </w:r>
      <w:r w:rsidR="005819C3">
        <w:rPr>
          <w:rFonts w:ascii="Times New Roman" w:hAnsi="Times New Roman" w:cs="Times New Roman"/>
          <w:sz w:val="24"/>
          <w:szCs w:val="24"/>
        </w:rPr>
        <w:t>L</w:t>
      </w:r>
      <w:r w:rsidR="00194951" w:rsidRPr="005456F7">
        <w:rPr>
          <w:rFonts w:ascii="Times New Roman" w:hAnsi="Times New Roman" w:cs="Times New Roman"/>
          <w:sz w:val="24"/>
          <w:szCs w:val="24"/>
        </w:rPr>
        <w:t xml:space="preserve">a section </w:t>
      </w:r>
      <w:r w:rsidR="00FC02E0">
        <w:rPr>
          <w:rFonts w:ascii="Times New Roman" w:hAnsi="Times New Roman" w:cs="Times New Roman"/>
          <w:sz w:val="24"/>
          <w:szCs w:val="24"/>
        </w:rPr>
        <w:t>5</w:t>
      </w:r>
      <w:r w:rsidR="00C14C48">
        <w:rPr>
          <w:rFonts w:ascii="Times New Roman" w:hAnsi="Times New Roman" w:cs="Times New Roman"/>
          <w:sz w:val="24"/>
          <w:szCs w:val="24"/>
        </w:rPr>
        <w:t xml:space="preserve"> </w:t>
      </w:r>
      <w:r w:rsidR="00194951" w:rsidRPr="005456F7">
        <w:rPr>
          <w:rFonts w:ascii="Times New Roman" w:hAnsi="Times New Roman" w:cs="Times New Roman"/>
          <w:sz w:val="24"/>
          <w:szCs w:val="24"/>
        </w:rPr>
        <w:t>présente les principaux résultats</w:t>
      </w:r>
      <w:r w:rsidR="00C14C48">
        <w:rPr>
          <w:rFonts w:ascii="Times New Roman" w:hAnsi="Times New Roman" w:cs="Times New Roman"/>
          <w:sz w:val="24"/>
          <w:szCs w:val="24"/>
        </w:rPr>
        <w:t xml:space="preserve"> avec leurs analyses et implications</w:t>
      </w:r>
      <w:r w:rsidR="005819C3">
        <w:rPr>
          <w:rFonts w:ascii="Times New Roman" w:hAnsi="Times New Roman" w:cs="Times New Roman"/>
          <w:sz w:val="24"/>
          <w:szCs w:val="24"/>
        </w:rPr>
        <w:t xml:space="preserve"> alors que l</w:t>
      </w:r>
      <w:r w:rsidR="00194951" w:rsidRPr="005456F7">
        <w:rPr>
          <w:rFonts w:ascii="Times New Roman" w:hAnsi="Times New Roman" w:cs="Times New Roman"/>
          <w:sz w:val="24"/>
          <w:szCs w:val="24"/>
        </w:rPr>
        <w:t xml:space="preserve">a section </w:t>
      </w:r>
      <w:r w:rsidR="00FC02E0">
        <w:rPr>
          <w:rFonts w:ascii="Times New Roman" w:hAnsi="Times New Roman" w:cs="Times New Roman"/>
          <w:sz w:val="24"/>
          <w:szCs w:val="24"/>
        </w:rPr>
        <w:t>6</w:t>
      </w:r>
      <w:r w:rsidR="00194951" w:rsidRPr="005456F7">
        <w:rPr>
          <w:rFonts w:ascii="Times New Roman" w:hAnsi="Times New Roman" w:cs="Times New Roman"/>
          <w:sz w:val="24"/>
          <w:szCs w:val="24"/>
        </w:rPr>
        <w:t xml:space="preserve"> conclut l</w:t>
      </w:r>
      <w:r w:rsidR="00612321" w:rsidRPr="005456F7">
        <w:rPr>
          <w:rFonts w:ascii="Times New Roman" w:hAnsi="Times New Roman" w:cs="Times New Roman"/>
          <w:sz w:val="24"/>
          <w:szCs w:val="24"/>
        </w:rPr>
        <w:t>’étud</w:t>
      </w:r>
      <w:r w:rsidR="00194951" w:rsidRPr="005456F7">
        <w:rPr>
          <w:rFonts w:ascii="Times New Roman" w:hAnsi="Times New Roman" w:cs="Times New Roman"/>
          <w:sz w:val="24"/>
          <w:szCs w:val="24"/>
        </w:rPr>
        <w:t xml:space="preserve">e. </w:t>
      </w:r>
    </w:p>
    <w:p w:rsidR="004F1E14" w:rsidRPr="005456F7" w:rsidRDefault="004F1E14" w:rsidP="009258F9">
      <w:pPr>
        <w:spacing w:before="120" w:after="120"/>
        <w:jc w:val="both"/>
        <w:rPr>
          <w:rFonts w:ascii="Times New Roman" w:hAnsi="Times New Roman" w:cs="Times New Roman"/>
          <w:sz w:val="24"/>
          <w:szCs w:val="24"/>
        </w:rPr>
      </w:pPr>
    </w:p>
    <w:p w:rsidR="00AC11B4" w:rsidRPr="005456F7" w:rsidRDefault="00AC11B4" w:rsidP="00613A51">
      <w:pPr>
        <w:pStyle w:val="Paragraphedeliste"/>
        <w:numPr>
          <w:ilvl w:val="0"/>
          <w:numId w:val="8"/>
        </w:numPr>
        <w:spacing w:before="120" w:after="120"/>
        <w:jc w:val="both"/>
        <w:rPr>
          <w:rFonts w:ascii="Times New Roman" w:hAnsi="Times New Roman" w:cs="Times New Roman"/>
          <w:b/>
          <w:sz w:val="24"/>
          <w:szCs w:val="24"/>
        </w:rPr>
      </w:pPr>
      <w:r w:rsidRPr="005456F7">
        <w:rPr>
          <w:rFonts w:ascii="Times New Roman" w:hAnsi="Times New Roman" w:cs="Times New Roman"/>
          <w:b/>
          <w:sz w:val="24"/>
          <w:szCs w:val="24"/>
        </w:rPr>
        <w:t>Faits stylisés et problématique</w:t>
      </w:r>
    </w:p>
    <w:p w:rsidR="004F104D" w:rsidRDefault="00E3108B" w:rsidP="004F104D">
      <w:pPr>
        <w:spacing w:before="120" w:after="120"/>
        <w:jc w:val="both"/>
        <w:rPr>
          <w:rFonts w:ascii="Times New Roman" w:hAnsi="Times New Roman" w:cs="Times New Roman"/>
          <w:sz w:val="24"/>
          <w:szCs w:val="24"/>
        </w:rPr>
      </w:pPr>
      <w:r w:rsidRPr="00E3108B">
        <w:rPr>
          <w:rFonts w:ascii="Times New Roman" w:hAnsi="Times New Roman" w:cs="Times New Roman"/>
          <w:sz w:val="24"/>
          <w:szCs w:val="24"/>
        </w:rPr>
        <w:t xml:space="preserve">Avec le </w:t>
      </w:r>
      <w:r w:rsidR="004F104D" w:rsidRPr="005456F7">
        <w:rPr>
          <w:rFonts w:ascii="Times New Roman" w:hAnsi="Times New Roman" w:cs="Times New Roman"/>
          <w:sz w:val="24"/>
          <w:szCs w:val="24"/>
        </w:rPr>
        <w:t>Port Autonome de Cotonou (PAC)</w:t>
      </w:r>
      <w:r w:rsidRPr="00E3108B">
        <w:rPr>
          <w:rFonts w:ascii="Times New Roman" w:hAnsi="Times New Roman" w:cs="Times New Roman"/>
          <w:sz w:val="24"/>
          <w:szCs w:val="24"/>
        </w:rPr>
        <w:t xml:space="preserve">, le Bénin constitue un couloir desservant les pays de l’hinterland </w:t>
      </w:r>
      <w:r w:rsidR="005819C3">
        <w:rPr>
          <w:rFonts w:ascii="Times New Roman" w:hAnsi="Times New Roman" w:cs="Times New Roman"/>
          <w:sz w:val="24"/>
          <w:szCs w:val="24"/>
        </w:rPr>
        <w:t xml:space="preserve">(Burkina Faso, Niger et Tchad) </w:t>
      </w:r>
      <w:r w:rsidRPr="00E3108B">
        <w:rPr>
          <w:rFonts w:ascii="Times New Roman" w:hAnsi="Times New Roman" w:cs="Times New Roman"/>
          <w:sz w:val="24"/>
          <w:szCs w:val="24"/>
        </w:rPr>
        <w:t>et le Nigéria par le transit notamment.</w:t>
      </w:r>
      <w:r>
        <w:rPr>
          <w:rFonts w:ascii="Times New Roman" w:hAnsi="Times New Roman" w:cs="Times New Roman"/>
          <w:sz w:val="24"/>
          <w:szCs w:val="24"/>
        </w:rPr>
        <w:t xml:space="preserve"> </w:t>
      </w:r>
      <w:r w:rsidR="0017142E" w:rsidRPr="005456F7">
        <w:rPr>
          <w:rFonts w:ascii="Times New Roman" w:hAnsi="Times New Roman" w:cs="Times New Roman"/>
          <w:sz w:val="24"/>
          <w:szCs w:val="24"/>
        </w:rPr>
        <w:t xml:space="preserve">L’importance du </w:t>
      </w:r>
      <w:r w:rsidR="004F104D">
        <w:rPr>
          <w:rFonts w:ascii="Times New Roman" w:hAnsi="Times New Roman" w:cs="Times New Roman"/>
          <w:sz w:val="24"/>
          <w:szCs w:val="24"/>
        </w:rPr>
        <w:t>PAC</w:t>
      </w:r>
      <w:r w:rsidR="0017142E" w:rsidRPr="005456F7">
        <w:rPr>
          <w:rFonts w:ascii="Times New Roman" w:hAnsi="Times New Roman" w:cs="Times New Roman"/>
          <w:sz w:val="24"/>
          <w:szCs w:val="24"/>
        </w:rPr>
        <w:t xml:space="preserve"> dans l’économie du Bénin est continu</w:t>
      </w:r>
      <w:r w:rsidR="00B2694D" w:rsidRPr="005456F7">
        <w:rPr>
          <w:rFonts w:ascii="Times New Roman" w:hAnsi="Times New Roman" w:cs="Times New Roman"/>
          <w:sz w:val="24"/>
          <w:szCs w:val="24"/>
        </w:rPr>
        <w:t>elle</w:t>
      </w:r>
      <w:r w:rsidR="0017142E" w:rsidRPr="005456F7">
        <w:rPr>
          <w:rFonts w:ascii="Times New Roman" w:hAnsi="Times New Roman" w:cs="Times New Roman"/>
          <w:sz w:val="24"/>
          <w:szCs w:val="24"/>
        </w:rPr>
        <w:t xml:space="preserve">ment en hausse alors même que </w:t>
      </w:r>
      <w:r w:rsidR="00D44728" w:rsidRPr="005456F7">
        <w:rPr>
          <w:rFonts w:ascii="Times New Roman" w:hAnsi="Times New Roman" w:cs="Times New Roman"/>
          <w:sz w:val="24"/>
          <w:szCs w:val="24"/>
        </w:rPr>
        <w:t xml:space="preserve">pendant plusieurs années, </w:t>
      </w:r>
      <w:r w:rsidR="002A1557" w:rsidRPr="005456F7">
        <w:rPr>
          <w:rFonts w:ascii="Times New Roman" w:hAnsi="Times New Roman" w:cs="Times New Roman"/>
          <w:sz w:val="24"/>
          <w:szCs w:val="24"/>
        </w:rPr>
        <w:t>s</w:t>
      </w:r>
      <w:r w:rsidR="0017142E" w:rsidRPr="005456F7">
        <w:rPr>
          <w:rFonts w:ascii="Times New Roman" w:hAnsi="Times New Roman" w:cs="Times New Roman"/>
          <w:sz w:val="24"/>
          <w:szCs w:val="24"/>
        </w:rPr>
        <w:t>a compétitivité</w:t>
      </w:r>
      <w:r w:rsidR="00D44728" w:rsidRPr="005456F7">
        <w:rPr>
          <w:rFonts w:ascii="Times New Roman" w:hAnsi="Times New Roman" w:cs="Times New Roman"/>
          <w:sz w:val="24"/>
          <w:szCs w:val="24"/>
        </w:rPr>
        <w:t xml:space="preserve"> a été remise en cause, du fait de la </w:t>
      </w:r>
      <w:r w:rsidR="00B2694D" w:rsidRPr="005456F7">
        <w:rPr>
          <w:rFonts w:ascii="Times New Roman" w:hAnsi="Times New Roman" w:cs="Times New Roman"/>
          <w:sz w:val="24"/>
          <w:szCs w:val="24"/>
        </w:rPr>
        <w:t xml:space="preserve">grande </w:t>
      </w:r>
      <w:r w:rsidR="00D44728" w:rsidRPr="005456F7">
        <w:rPr>
          <w:rFonts w:ascii="Times New Roman" w:hAnsi="Times New Roman" w:cs="Times New Roman"/>
          <w:sz w:val="24"/>
          <w:szCs w:val="24"/>
        </w:rPr>
        <w:t xml:space="preserve">concurrence </w:t>
      </w:r>
      <w:r w:rsidR="00B2694D" w:rsidRPr="005456F7">
        <w:rPr>
          <w:rFonts w:ascii="Times New Roman" w:hAnsi="Times New Roman" w:cs="Times New Roman"/>
          <w:sz w:val="24"/>
          <w:szCs w:val="24"/>
        </w:rPr>
        <w:t xml:space="preserve">régionale </w:t>
      </w:r>
      <w:r w:rsidR="00D44728" w:rsidRPr="005456F7">
        <w:rPr>
          <w:rFonts w:ascii="Times New Roman" w:hAnsi="Times New Roman" w:cs="Times New Roman"/>
          <w:sz w:val="24"/>
          <w:szCs w:val="24"/>
        </w:rPr>
        <w:t>mais aussi, du sous-équipement en infrastructures modernes</w:t>
      </w:r>
      <w:r w:rsidR="00C14C48">
        <w:rPr>
          <w:rFonts w:ascii="Times New Roman" w:hAnsi="Times New Roman" w:cs="Times New Roman"/>
          <w:sz w:val="24"/>
          <w:szCs w:val="24"/>
        </w:rPr>
        <w:t xml:space="preserve"> (</w:t>
      </w:r>
      <w:r w:rsidR="005F5B10">
        <w:rPr>
          <w:rFonts w:ascii="Times New Roman" w:hAnsi="Times New Roman" w:cs="Times New Roman"/>
          <w:sz w:val="24"/>
          <w:szCs w:val="24"/>
        </w:rPr>
        <w:t>MCA Bénin, 2012</w:t>
      </w:r>
      <w:r w:rsidR="00C14C48">
        <w:rPr>
          <w:rFonts w:ascii="Times New Roman" w:hAnsi="Times New Roman" w:cs="Times New Roman"/>
          <w:sz w:val="24"/>
          <w:szCs w:val="24"/>
        </w:rPr>
        <w:t>)</w:t>
      </w:r>
      <w:r w:rsidR="00D44728" w:rsidRPr="005456F7">
        <w:rPr>
          <w:rFonts w:ascii="Times New Roman" w:hAnsi="Times New Roman" w:cs="Times New Roman"/>
          <w:sz w:val="24"/>
          <w:szCs w:val="24"/>
        </w:rPr>
        <w:t xml:space="preserve">. Engorgement, multiplicité de procédures </w:t>
      </w:r>
      <w:r w:rsidR="00C14C48">
        <w:rPr>
          <w:rFonts w:ascii="Times New Roman" w:hAnsi="Times New Roman" w:cs="Times New Roman"/>
          <w:sz w:val="24"/>
          <w:szCs w:val="24"/>
        </w:rPr>
        <w:t>impliquant d’importants coûts de transaction formels ou informels</w:t>
      </w:r>
      <w:r w:rsidR="00D44728" w:rsidRPr="005456F7">
        <w:rPr>
          <w:rFonts w:ascii="Times New Roman" w:hAnsi="Times New Roman" w:cs="Times New Roman"/>
          <w:sz w:val="24"/>
          <w:szCs w:val="24"/>
        </w:rPr>
        <w:t xml:space="preserve">, complexité du processus </w:t>
      </w:r>
      <w:r w:rsidR="00C14C48">
        <w:rPr>
          <w:rFonts w:ascii="Times New Roman" w:hAnsi="Times New Roman" w:cs="Times New Roman"/>
          <w:sz w:val="24"/>
          <w:szCs w:val="24"/>
        </w:rPr>
        <w:t>avec des</w:t>
      </w:r>
      <w:r w:rsidR="00D44728" w:rsidRPr="005456F7">
        <w:rPr>
          <w:rFonts w:ascii="Times New Roman" w:hAnsi="Times New Roman" w:cs="Times New Roman"/>
          <w:sz w:val="24"/>
          <w:szCs w:val="24"/>
        </w:rPr>
        <w:t xml:space="preserve"> perte</w:t>
      </w:r>
      <w:r w:rsidR="00C14C48">
        <w:rPr>
          <w:rFonts w:ascii="Times New Roman" w:hAnsi="Times New Roman" w:cs="Times New Roman"/>
          <w:sz w:val="24"/>
          <w:szCs w:val="24"/>
        </w:rPr>
        <w:t>s</w:t>
      </w:r>
      <w:r w:rsidR="00D44728" w:rsidRPr="005456F7">
        <w:rPr>
          <w:rFonts w:ascii="Times New Roman" w:hAnsi="Times New Roman" w:cs="Times New Roman"/>
          <w:sz w:val="24"/>
          <w:szCs w:val="24"/>
        </w:rPr>
        <w:t xml:space="preserve"> de temps pour insuffisance de dématérialisation</w:t>
      </w:r>
      <w:r w:rsidR="00C14C48">
        <w:rPr>
          <w:rFonts w:ascii="Times New Roman" w:hAnsi="Times New Roman" w:cs="Times New Roman"/>
          <w:sz w:val="24"/>
          <w:szCs w:val="24"/>
        </w:rPr>
        <w:t>,</w:t>
      </w:r>
      <w:r w:rsidR="00D44728" w:rsidRPr="005456F7">
        <w:rPr>
          <w:rFonts w:ascii="Times New Roman" w:hAnsi="Times New Roman" w:cs="Times New Roman"/>
          <w:sz w:val="24"/>
          <w:szCs w:val="24"/>
        </w:rPr>
        <w:t xml:space="preserve"> </w:t>
      </w:r>
      <w:r w:rsidR="00C14C48">
        <w:rPr>
          <w:rFonts w:ascii="Times New Roman" w:hAnsi="Times New Roman" w:cs="Times New Roman"/>
          <w:sz w:val="24"/>
          <w:szCs w:val="24"/>
        </w:rPr>
        <w:t xml:space="preserve">sont donc </w:t>
      </w:r>
      <w:r w:rsidR="00D44728" w:rsidRPr="005456F7">
        <w:rPr>
          <w:rFonts w:ascii="Times New Roman" w:hAnsi="Times New Roman" w:cs="Times New Roman"/>
          <w:sz w:val="24"/>
          <w:szCs w:val="24"/>
        </w:rPr>
        <w:t xml:space="preserve">caractéristiques des opérations portuaires. </w:t>
      </w:r>
      <w:r w:rsidR="004F104D" w:rsidRPr="00E3108B">
        <w:rPr>
          <w:rFonts w:ascii="Times New Roman" w:hAnsi="Times New Roman" w:cs="Times New Roman"/>
          <w:sz w:val="24"/>
          <w:szCs w:val="24"/>
        </w:rPr>
        <w:t>L’environne</w:t>
      </w:r>
      <w:r w:rsidR="00E22380">
        <w:rPr>
          <w:rFonts w:ascii="Times New Roman" w:hAnsi="Times New Roman" w:cs="Times New Roman"/>
          <w:sz w:val="24"/>
          <w:szCs w:val="24"/>
        </w:rPr>
        <w:t>ment concurrentiel dans la sous-</w:t>
      </w:r>
      <w:r w:rsidR="004F104D" w:rsidRPr="00E3108B">
        <w:rPr>
          <w:rFonts w:ascii="Times New Roman" w:hAnsi="Times New Roman" w:cs="Times New Roman"/>
          <w:sz w:val="24"/>
          <w:szCs w:val="24"/>
        </w:rPr>
        <w:t xml:space="preserve">région avec les ports voisins reste aussi une forte contrainte à laquelle, le Bénin doit répondre par </w:t>
      </w:r>
      <w:r w:rsidR="005819C3">
        <w:rPr>
          <w:rFonts w:ascii="Times New Roman" w:hAnsi="Times New Roman" w:cs="Times New Roman"/>
          <w:sz w:val="24"/>
          <w:szCs w:val="24"/>
        </w:rPr>
        <w:t xml:space="preserve">entre autres, </w:t>
      </w:r>
      <w:r w:rsidR="004F104D" w:rsidRPr="00E3108B">
        <w:rPr>
          <w:rFonts w:ascii="Times New Roman" w:hAnsi="Times New Roman" w:cs="Times New Roman"/>
          <w:sz w:val="24"/>
          <w:szCs w:val="24"/>
        </w:rPr>
        <w:t>des réform</w:t>
      </w:r>
      <w:r w:rsidR="005819C3">
        <w:rPr>
          <w:rFonts w:ascii="Times New Roman" w:hAnsi="Times New Roman" w:cs="Times New Roman"/>
          <w:sz w:val="24"/>
          <w:szCs w:val="24"/>
        </w:rPr>
        <w:t>es de facilitation des échanges</w:t>
      </w:r>
      <w:r w:rsidR="004F104D" w:rsidRPr="00E3108B">
        <w:rPr>
          <w:rFonts w:ascii="Times New Roman" w:hAnsi="Times New Roman" w:cs="Times New Roman"/>
          <w:sz w:val="24"/>
          <w:szCs w:val="24"/>
        </w:rPr>
        <w:t xml:space="preserve">. </w:t>
      </w:r>
    </w:p>
    <w:p w:rsidR="004F104D" w:rsidRDefault="005819C3" w:rsidP="004F104D">
      <w:pPr>
        <w:spacing w:before="120" w:after="120"/>
        <w:jc w:val="both"/>
        <w:rPr>
          <w:rFonts w:ascii="Times New Roman" w:hAnsi="Times New Roman" w:cs="Times New Roman"/>
          <w:sz w:val="24"/>
          <w:szCs w:val="24"/>
        </w:rPr>
      </w:pPr>
      <w:r>
        <w:rPr>
          <w:rFonts w:ascii="Times New Roman" w:hAnsi="Times New Roman" w:cs="Times New Roman"/>
          <w:sz w:val="24"/>
          <w:szCs w:val="24"/>
        </w:rPr>
        <w:t>L</w:t>
      </w:r>
      <w:r w:rsidR="004F104D" w:rsidRPr="00E3108B">
        <w:rPr>
          <w:rFonts w:ascii="Times New Roman" w:hAnsi="Times New Roman" w:cs="Times New Roman"/>
          <w:sz w:val="24"/>
          <w:szCs w:val="24"/>
        </w:rPr>
        <w:t xml:space="preserve">es lourdeurs administratives </w:t>
      </w:r>
      <w:r>
        <w:rPr>
          <w:rFonts w:ascii="Times New Roman" w:hAnsi="Times New Roman" w:cs="Times New Roman"/>
          <w:sz w:val="24"/>
          <w:szCs w:val="24"/>
        </w:rPr>
        <w:t xml:space="preserve">au PAC </w:t>
      </w:r>
      <w:r w:rsidR="004F104D" w:rsidRPr="00E3108B">
        <w:rPr>
          <w:rFonts w:ascii="Times New Roman" w:hAnsi="Times New Roman" w:cs="Times New Roman"/>
          <w:sz w:val="24"/>
          <w:szCs w:val="24"/>
        </w:rPr>
        <w:t xml:space="preserve">pèsent considérablement sur la performance des sociétés de manutention avec des procédures en moyenne quatre fois plus longues que dans les ports concurrents dont Lomé et </w:t>
      </w:r>
      <w:proofErr w:type="spellStart"/>
      <w:r w:rsidR="004F104D" w:rsidRPr="00E3108B">
        <w:rPr>
          <w:rFonts w:ascii="Times New Roman" w:hAnsi="Times New Roman" w:cs="Times New Roman"/>
          <w:sz w:val="24"/>
          <w:szCs w:val="24"/>
        </w:rPr>
        <w:t>Téma</w:t>
      </w:r>
      <w:proofErr w:type="spellEnd"/>
      <w:r>
        <w:rPr>
          <w:rFonts w:ascii="Times New Roman" w:hAnsi="Times New Roman" w:cs="Times New Roman"/>
          <w:sz w:val="24"/>
          <w:szCs w:val="24"/>
        </w:rPr>
        <w:t xml:space="preserve"> (CNUCED, 2003)</w:t>
      </w:r>
      <w:r w:rsidR="004F104D" w:rsidRPr="00E3108B">
        <w:rPr>
          <w:rFonts w:ascii="Times New Roman" w:hAnsi="Times New Roman" w:cs="Times New Roman"/>
          <w:sz w:val="24"/>
          <w:szCs w:val="24"/>
        </w:rPr>
        <w:t>. En termes de temps d’acheminement des produits de commerce vers les pays enclavés, des données consolidées par Delmas en 2009 soutiennent un plus long corridor de transport</w:t>
      </w:r>
      <w:r w:rsidR="00846D88">
        <w:rPr>
          <w:rFonts w:ascii="Times New Roman" w:hAnsi="Times New Roman" w:cs="Times New Roman"/>
          <w:sz w:val="24"/>
          <w:szCs w:val="24"/>
        </w:rPr>
        <w:t xml:space="preserve"> béninois : </w:t>
      </w:r>
      <w:r>
        <w:rPr>
          <w:rFonts w:ascii="Times New Roman" w:hAnsi="Times New Roman" w:cs="Times New Roman"/>
          <w:sz w:val="24"/>
          <w:szCs w:val="24"/>
        </w:rPr>
        <w:t xml:space="preserve">à partir </w:t>
      </w:r>
      <w:r w:rsidR="00846D88">
        <w:rPr>
          <w:rFonts w:ascii="Times New Roman" w:hAnsi="Times New Roman" w:cs="Times New Roman"/>
          <w:sz w:val="24"/>
          <w:szCs w:val="24"/>
        </w:rPr>
        <w:t>d</w:t>
      </w:r>
      <w:r w:rsidR="004F104D" w:rsidRPr="00E3108B">
        <w:rPr>
          <w:rFonts w:ascii="Times New Roman" w:hAnsi="Times New Roman" w:cs="Times New Roman"/>
          <w:sz w:val="24"/>
          <w:szCs w:val="24"/>
        </w:rPr>
        <w:t xml:space="preserve">e Cotonou </w:t>
      </w:r>
      <w:r>
        <w:rPr>
          <w:rFonts w:ascii="Times New Roman" w:hAnsi="Times New Roman" w:cs="Times New Roman"/>
          <w:sz w:val="24"/>
          <w:szCs w:val="24"/>
        </w:rPr>
        <w:t xml:space="preserve">pour </w:t>
      </w:r>
      <w:r w:rsidR="00846D88">
        <w:rPr>
          <w:rFonts w:ascii="Times New Roman" w:hAnsi="Times New Roman" w:cs="Times New Roman"/>
          <w:sz w:val="24"/>
          <w:szCs w:val="24"/>
        </w:rPr>
        <w:t>Niamey</w:t>
      </w:r>
      <w:r>
        <w:rPr>
          <w:rFonts w:ascii="Times New Roman" w:hAnsi="Times New Roman" w:cs="Times New Roman"/>
          <w:sz w:val="24"/>
          <w:szCs w:val="24"/>
        </w:rPr>
        <w:t xml:space="preserve">, le temps </w:t>
      </w:r>
      <w:r w:rsidR="004F104D" w:rsidRPr="00E3108B">
        <w:rPr>
          <w:rFonts w:ascii="Times New Roman" w:hAnsi="Times New Roman" w:cs="Times New Roman"/>
          <w:sz w:val="24"/>
          <w:szCs w:val="24"/>
        </w:rPr>
        <w:t xml:space="preserve">de transit total pouvait atteindre 23 </w:t>
      </w:r>
      <w:r>
        <w:rPr>
          <w:rFonts w:ascii="Times New Roman" w:hAnsi="Times New Roman" w:cs="Times New Roman"/>
          <w:sz w:val="24"/>
          <w:szCs w:val="24"/>
        </w:rPr>
        <w:t xml:space="preserve">jours contre </w:t>
      </w:r>
      <w:r w:rsidR="004F104D" w:rsidRPr="00E3108B">
        <w:rPr>
          <w:rFonts w:ascii="Times New Roman" w:hAnsi="Times New Roman" w:cs="Times New Roman"/>
          <w:sz w:val="24"/>
          <w:szCs w:val="24"/>
        </w:rPr>
        <w:t xml:space="preserve">22 jours </w:t>
      </w:r>
      <w:r>
        <w:rPr>
          <w:rFonts w:ascii="Times New Roman" w:hAnsi="Times New Roman" w:cs="Times New Roman"/>
          <w:sz w:val="24"/>
          <w:szCs w:val="24"/>
        </w:rPr>
        <w:t xml:space="preserve">de </w:t>
      </w:r>
      <w:proofErr w:type="spellStart"/>
      <w:r>
        <w:rPr>
          <w:rFonts w:ascii="Times New Roman" w:hAnsi="Times New Roman" w:cs="Times New Roman"/>
          <w:sz w:val="24"/>
          <w:szCs w:val="24"/>
        </w:rPr>
        <w:t>Téma</w:t>
      </w:r>
      <w:proofErr w:type="spellEnd"/>
      <w:r>
        <w:rPr>
          <w:rFonts w:ascii="Times New Roman" w:hAnsi="Times New Roman" w:cs="Times New Roman"/>
          <w:sz w:val="24"/>
          <w:szCs w:val="24"/>
        </w:rPr>
        <w:t xml:space="preserve"> à Niamey malgré</w:t>
      </w:r>
      <w:r w:rsidR="004F104D" w:rsidRPr="00E3108B">
        <w:rPr>
          <w:rFonts w:ascii="Times New Roman" w:hAnsi="Times New Roman" w:cs="Times New Roman"/>
          <w:sz w:val="24"/>
          <w:szCs w:val="24"/>
        </w:rPr>
        <w:t xml:space="preserve"> l’avantage comparatif </w:t>
      </w:r>
      <w:r>
        <w:rPr>
          <w:rFonts w:ascii="Times New Roman" w:hAnsi="Times New Roman" w:cs="Times New Roman"/>
          <w:sz w:val="24"/>
          <w:szCs w:val="24"/>
        </w:rPr>
        <w:t>du</w:t>
      </w:r>
      <w:r w:rsidR="004F104D" w:rsidRPr="00E3108B">
        <w:rPr>
          <w:rFonts w:ascii="Times New Roman" w:hAnsi="Times New Roman" w:cs="Times New Roman"/>
          <w:sz w:val="24"/>
          <w:szCs w:val="24"/>
        </w:rPr>
        <w:t xml:space="preserve"> Bénin avec 280 kilomètres de moins en distance</w:t>
      </w:r>
      <w:r w:rsidR="00846D88">
        <w:rPr>
          <w:rFonts w:ascii="Times New Roman" w:hAnsi="Times New Roman" w:cs="Times New Roman"/>
          <w:sz w:val="24"/>
          <w:szCs w:val="24"/>
        </w:rPr>
        <w:t xml:space="preserve"> (Hartmann, 2011)</w:t>
      </w:r>
      <w:r w:rsidR="004F104D" w:rsidRPr="00E3108B">
        <w:rPr>
          <w:rFonts w:ascii="Times New Roman" w:hAnsi="Times New Roman" w:cs="Times New Roman"/>
          <w:sz w:val="24"/>
          <w:szCs w:val="24"/>
        </w:rPr>
        <w:t xml:space="preserve">. Les mêmes différentiels de temps défavorables sont observables </w:t>
      </w:r>
      <w:r w:rsidR="004F104D" w:rsidRPr="00E3108B">
        <w:rPr>
          <w:rFonts w:ascii="Times New Roman" w:hAnsi="Times New Roman" w:cs="Times New Roman"/>
          <w:sz w:val="24"/>
          <w:szCs w:val="24"/>
        </w:rPr>
        <w:lastRenderedPageBreak/>
        <w:t>qu’il s’agisse du port de Lomé ou de la destination Ouagadougou ; ils expliquent assez les contraintes de positionnement du PAC comme une solution optimale pour desservir les pays enclavés de la sous</w:t>
      </w:r>
      <w:r w:rsidR="00E22380">
        <w:rPr>
          <w:rFonts w:ascii="Times New Roman" w:hAnsi="Times New Roman" w:cs="Times New Roman"/>
          <w:sz w:val="24"/>
          <w:szCs w:val="24"/>
        </w:rPr>
        <w:t>-</w:t>
      </w:r>
      <w:r w:rsidR="004F104D" w:rsidRPr="00E3108B">
        <w:rPr>
          <w:rFonts w:ascii="Times New Roman" w:hAnsi="Times New Roman" w:cs="Times New Roman"/>
          <w:sz w:val="24"/>
          <w:szCs w:val="24"/>
        </w:rPr>
        <w:t xml:space="preserve">région. </w:t>
      </w:r>
    </w:p>
    <w:p w:rsidR="006101A1" w:rsidRDefault="00D44728" w:rsidP="007318B8">
      <w:pPr>
        <w:spacing w:before="120" w:after="120"/>
        <w:jc w:val="both"/>
        <w:rPr>
          <w:rFonts w:ascii="Times New Roman" w:hAnsi="Times New Roman" w:cs="Times New Roman"/>
          <w:sz w:val="24"/>
          <w:szCs w:val="24"/>
        </w:rPr>
      </w:pPr>
      <w:r w:rsidRPr="005456F7">
        <w:rPr>
          <w:rFonts w:ascii="Times New Roman" w:hAnsi="Times New Roman" w:cs="Times New Roman"/>
          <w:sz w:val="24"/>
          <w:szCs w:val="24"/>
        </w:rPr>
        <w:t>En conséquence, la baisse de trafic et du volume de marchandises a enge</w:t>
      </w:r>
      <w:r w:rsidR="0036195B" w:rsidRPr="005456F7">
        <w:rPr>
          <w:rFonts w:ascii="Times New Roman" w:hAnsi="Times New Roman" w:cs="Times New Roman"/>
          <w:sz w:val="24"/>
          <w:szCs w:val="24"/>
        </w:rPr>
        <w:t xml:space="preserve">ndré un amenuisement des recettes publiques </w:t>
      </w:r>
      <w:r w:rsidR="00BE675F">
        <w:rPr>
          <w:rFonts w:ascii="Times New Roman" w:hAnsi="Times New Roman" w:cs="Times New Roman"/>
          <w:sz w:val="24"/>
          <w:szCs w:val="24"/>
        </w:rPr>
        <w:t>dans un sous</w:t>
      </w:r>
      <w:r w:rsidR="00E22380">
        <w:rPr>
          <w:rFonts w:ascii="Times New Roman" w:hAnsi="Times New Roman" w:cs="Times New Roman"/>
          <w:sz w:val="24"/>
          <w:szCs w:val="24"/>
        </w:rPr>
        <w:t>-</w:t>
      </w:r>
      <w:r w:rsidR="00BE675F">
        <w:rPr>
          <w:rFonts w:ascii="Times New Roman" w:hAnsi="Times New Roman" w:cs="Times New Roman"/>
          <w:sz w:val="24"/>
          <w:szCs w:val="24"/>
        </w:rPr>
        <w:t xml:space="preserve">secteur </w:t>
      </w:r>
      <w:r w:rsidR="005819C3">
        <w:rPr>
          <w:rFonts w:ascii="Times New Roman" w:hAnsi="Times New Roman" w:cs="Times New Roman"/>
          <w:sz w:val="24"/>
          <w:szCs w:val="24"/>
        </w:rPr>
        <w:t>important pour l’économie béninoise</w:t>
      </w:r>
      <w:r w:rsidR="00846D88">
        <w:rPr>
          <w:rFonts w:ascii="Times New Roman" w:hAnsi="Times New Roman" w:cs="Times New Roman"/>
          <w:sz w:val="24"/>
          <w:szCs w:val="24"/>
        </w:rPr>
        <w:t xml:space="preserve"> (MCA Bénin, 2012)</w:t>
      </w:r>
      <w:r w:rsidR="0036195B" w:rsidRPr="005456F7">
        <w:rPr>
          <w:rFonts w:ascii="Times New Roman" w:hAnsi="Times New Roman" w:cs="Times New Roman"/>
          <w:sz w:val="24"/>
          <w:szCs w:val="24"/>
        </w:rPr>
        <w:t xml:space="preserve">. </w:t>
      </w:r>
      <w:r w:rsidR="004F104D" w:rsidRPr="00E3108B">
        <w:rPr>
          <w:rFonts w:ascii="Times New Roman" w:hAnsi="Times New Roman" w:cs="Times New Roman"/>
          <w:sz w:val="24"/>
          <w:szCs w:val="24"/>
        </w:rPr>
        <w:t>C’est pourquoi, en sus de l’obsolescence des infrastructures routières, ces différentiels justifiaient à suffisance des réformes et investissements de simplification des procédures et processus visant à réduire l’ensemble des coûts de transaction formels et informels sur la plateforme portuaire.</w:t>
      </w:r>
      <w:r w:rsidR="004F104D">
        <w:rPr>
          <w:rFonts w:ascii="Times New Roman" w:hAnsi="Times New Roman" w:cs="Times New Roman"/>
          <w:sz w:val="24"/>
          <w:szCs w:val="24"/>
        </w:rPr>
        <w:t xml:space="preserve"> </w:t>
      </w:r>
      <w:r w:rsidR="00194951" w:rsidRPr="005456F7">
        <w:rPr>
          <w:rFonts w:ascii="Times New Roman" w:hAnsi="Times New Roman" w:cs="Times New Roman"/>
          <w:sz w:val="24"/>
          <w:szCs w:val="24"/>
        </w:rPr>
        <w:t>D</w:t>
      </w:r>
      <w:r w:rsidR="00B2694D" w:rsidRPr="005456F7">
        <w:rPr>
          <w:rFonts w:ascii="Times New Roman" w:hAnsi="Times New Roman" w:cs="Times New Roman"/>
          <w:sz w:val="24"/>
          <w:szCs w:val="24"/>
        </w:rPr>
        <w:t xml:space="preserve">epuis </w:t>
      </w:r>
      <w:r w:rsidR="0036195B" w:rsidRPr="005456F7">
        <w:rPr>
          <w:rFonts w:ascii="Times New Roman" w:hAnsi="Times New Roman" w:cs="Times New Roman"/>
          <w:sz w:val="24"/>
          <w:szCs w:val="24"/>
        </w:rPr>
        <w:t>2006</w:t>
      </w:r>
      <w:r w:rsidR="005F5B10">
        <w:rPr>
          <w:rFonts w:ascii="Times New Roman" w:hAnsi="Times New Roman" w:cs="Times New Roman"/>
          <w:sz w:val="24"/>
          <w:szCs w:val="24"/>
        </w:rPr>
        <w:t xml:space="preserve"> et sur une période de cinq ans</w:t>
      </w:r>
      <w:r w:rsidR="00BE675F">
        <w:rPr>
          <w:rFonts w:ascii="Times New Roman" w:hAnsi="Times New Roman" w:cs="Times New Roman"/>
          <w:sz w:val="24"/>
          <w:szCs w:val="24"/>
        </w:rPr>
        <w:t>,</w:t>
      </w:r>
      <w:r w:rsidR="005819C3">
        <w:rPr>
          <w:rFonts w:ascii="Times New Roman" w:hAnsi="Times New Roman" w:cs="Times New Roman"/>
          <w:sz w:val="24"/>
          <w:szCs w:val="24"/>
        </w:rPr>
        <w:t xml:space="preserve"> </w:t>
      </w:r>
      <w:r w:rsidR="0036195B" w:rsidRPr="005456F7">
        <w:rPr>
          <w:rFonts w:ascii="Times New Roman" w:hAnsi="Times New Roman" w:cs="Times New Roman"/>
          <w:sz w:val="24"/>
          <w:szCs w:val="24"/>
        </w:rPr>
        <w:t xml:space="preserve">le Bénin a choisi d’orienter la subvention </w:t>
      </w:r>
      <w:r w:rsidR="005819C3">
        <w:rPr>
          <w:rFonts w:ascii="Times New Roman" w:hAnsi="Times New Roman" w:cs="Times New Roman"/>
          <w:sz w:val="24"/>
          <w:szCs w:val="24"/>
        </w:rPr>
        <w:t xml:space="preserve">du MCA </w:t>
      </w:r>
      <w:r w:rsidR="0036195B" w:rsidRPr="005456F7">
        <w:rPr>
          <w:rFonts w:ascii="Times New Roman" w:hAnsi="Times New Roman" w:cs="Times New Roman"/>
          <w:sz w:val="24"/>
          <w:szCs w:val="24"/>
        </w:rPr>
        <w:t xml:space="preserve">essentiellement vers la composante "accès aux marchés" avec différents investissements et réformes </w:t>
      </w:r>
      <w:r w:rsidR="00BE675F">
        <w:rPr>
          <w:rFonts w:ascii="Times New Roman" w:hAnsi="Times New Roman" w:cs="Times New Roman"/>
          <w:sz w:val="24"/>
          <w:szCs w:val="24"/>
        </w:rPr>
        <w:t>dans le domaine portuaire</w:t>
      </w:r>
      <w:r w:rsidR="005E01AE" w:rsidRPr="005456F7">
        <w:rPr>
          <w:rFonts w:ascii="Times New Roman" w:hAnsi="Times New Roman" w:cs="Times New Roman"/>
          <w:sz w:val="24"/>
          <w:szCs w:val="24"/>
        </w:rPr>
        <w:t xml:space="preserve">. Fondamentalement, le Programme a contribué à lever les principaux obstacles à la </w:t>
      </w:r>
      <w:r w:rsidR="005819C3">
        <w:rPr>
          <w:rFonts w:ascii="Times New Roman" w:hAnsi="Times New Roman" w:cs="Times New Roman"/>
          <w:sz w:val="24"/>
          <w:szCs w:val="24"/>
        </w:rPr>
        <w:t>performance du PAC par l</w:t>
      </w:r>
      <w:r w:rsidR="005E01AE" w:rsidRPr="005456F7">
        <w:rPr>
          <w:rFonts w:ascii="Times New Roman" w:hAnsi="Times New Roman" w:cs="Times New Roman"/>
          <w:sz w:val="24"/>
          <w:szCs w:val="24"/>
        </w:rPr>
        <w:t xml:space="preserve">’amélioration des infrastructures physiques et institutionnelles : </w:t>
      </w:r>
      <w:r w:rsidR="00BE675F">
        <w:rPr>
          <w:rFonts w:ascii="Times New Roman" w:hAnsi="Times New Roman" w:cs="Times New Roman"/>
          <w:sz w:val="24"/>
          <w:szCs w:val="24"/>
        </w:rPr>
        <w:t xml:space="preserve">le </w:t>
      </w:r>
      <w:r w:rsidR="006101A1" w:rsidRPr="005456F7">
        <w:rPr>
          <w:rFonts w:ascii="Times New Roman" w:hAnsi="Times New Roman" w:cs="Times New Roman"/>
          <w:sz w:val="24"/>
          <w:szCs w:val="24"/>
        </w:rPr>
        <w:t xml:space="preserve">prolongement d’épi d’arrêt, </w:t>
      </w:r>
      <w:r w:rsidR="00BE675F">
        <w:rPr>
          <w:rFonts w:ascii="Times New Roman" w:hAnsi="Times New Roman" w:cs="Times New Roman"/>
          <w:sz w:val="24"/>
          <w:szCs w:val="24"/>
        </w:rPr>
        <w:t xml:space="preserve">la </w:t>
      </w:r>
      <w:r w:rsidR="006101A1" w:rsidRPr="005456F7">
        <w:rPr>
          <w:rFonts w:ascii="Times New Roman" w:hAnsi="Times New Roman" w:cs="Times New Roman"/>
          <w:sz w:val="24"/>
          <w:szCs w:val="24"/>
        </w:rPr>
        <w:t xml:space="preserve">construction de deux nouveaux postes à quai, </w:t>
      </w:r>
      <w:r w:rsidR="00BE675F">
        <w:rPr>
          <w:rFonts w:ascii="Times New Roman" w:hAnsi="Times New Roman" w:cs="Times New Roman"/>
          <w:sz w:val="24"/>
          <w:szCs w:val="24"/>
        </w:rPr>
        <w:t xml:space="preserve">la </w:t>
      </w:r>
      <w:r w:rsidR="006101A1" w:rsidRPr="005456F7">
        <w:rPr>
          <w:rFonts w:ascii="Times New Roman" w:hAnsi="Times New Roman" w:cs="Times New Roman"/>
          <w:sz w:val="24"/>
          <w:szCs w:val="24"/>
        </w:rPr>
        <w:t xml:space="preserve">confortation d’anciens quais, </w:t>
      </w:r>
      <w:r w:rsidR="00BE675F">
        <w:rPr>
          <w:rFonts w:ascii="Times New Roman" w:hAnsi="Times New Roman" w:cs="Times New Roman"/>
          <w:sz w:val="24"/>
          <w:szCs w:val="24"/>
        </w:rPr>
        <w:t>l’</w:t>
      </w:r>
      <w:r w:rsidR="006101A1" w:rsidRPr="005456F7">
        <w:rPr>
          <w:rFonts w:ascii="Times New Roman" w:hAnsi="Times New Roman" w:cs="Times New Roman"/>
          <w:sz w:val="24"/>
          <w:szCs w:val="24"/>
        </w:rPr>
        <w:t xml:space="preserve">aménagement de voies, </w:t>
      </w:r>
      <w:r w:rsidR="00BE675F">
        <w:rPr>
          <w:rFonts w:ascii="Times New Roman" w:hAnsi="Times New Roman" w:cs="Times New Roman"/>
          <w:sz w:val="24"/>
          <w:szCs w:val="24"/>
        </w:rPr>
        <w:t>l’</w:t>
      </w:r>
      <w:r w:rsidR="006101A1" w:rsidRPr="005456F7">
        <w:rPr>
          <w:rFonts w:ascii="Times New Roman" w:hAnsi="Times New Roman" w:cs="Times New Roman"/>
          <w:sz w:val="24"/>
          <w:szCs w:val="24"/>
        </w:rPr>
        <w:t xml:space="preserve">acquisition de remorques. </w:t>
      </w:r>
      <w:r w:rsidR="005F5B10">
        <w:rPr>
          <w:rFonts w:ascii="Times New Roman" w:hAnsi="Times New Roman" w:cs="Times New Roman"/>
          <w:sz w:val="24"/>
          <w:szCs w:val="24"/>
        </w:rPr>
        <w:t xml:space="preserve">Au </w:t>
      </w:r>
      <w:r w:rsidR="005819C3">
        <w:rPr>
          <w:rFonts w:ascii="Times New Roman" w:hAnsi="Times New Roman" w:cs="Times New Roman"/>
          <w:sz w:val="24"/>
          <w:szCs w:val="24"/>
        </w:rPr>
        <w:t>0</w:t>
      </w:r>
      <w:r w:rsidR="005F5B10">
        <w:rPr>
          <w:rFonts w:ascii="Times New Roman" w:hAnsi="Times New Roman" w:cs="Times New Roman"/>
          <w:sz w:val="24"/>
          <w:szCs w:val="24"/>
        </w:rPr>
        <w:t>3 février 2012, la répartition des financements se présente ainsi qu’il suit dans l</w:t>
      </w:r>
      <w:r w:rsidR="005819C3">
        <w:rPr>
          <w:rFonts w:ascii="Times New Roman" w:hAnsi="Times New Roman" w:cs="Times New Roman"/>
          <w:sz w:val="24"/>
          <w:szCs w:val="24"/>
        </w:rPr>
        <w:t>e</w:t>
      </w:r>
      <w:r w:rsidR="005F5B10">
        <w:rPr>
          <w:rFonts w:ascii="Times New Roman" w:hAnsi="Times New Roman" w:cs="Times New Roman"/>
          <w:sz w:val="24"/>
          <w:szCs w:val="24"/>
        </w:rPr>
        <w:t xml:space="preserve"> table</w:t>
      </w:r>
      <w:r w:rsidR="005819C3">
        <w:rPr>
          <w:rFonts w:ascii="Times New Roman" w:hAnsi="Times New Roman" w:cs="Times New Roman"/>
          <w:sz w:val="24"/>
          <w:szCs w:val="24"/>
        </w:rPr>
        <w:t>au</w:t>
      </w:r>
      <w:r w:rsidR="005F5B10">
        <w:rPr>
          <w:rFonts w:ascii="Times New Roman" w:hAnsi="Times New Roman" w:cs="Times New Roman"/>
          <w:sz w:val="24"/>
          <w:szCs w:val="24"/>
        </w:rPr>
        <w:t xml:space="preserve"> 1.</w:t>
      </w:r>
    </w:p>
    <w:p w:rsidR="005F5B10" w:rsidRPr="00F36A88" w:rsidRDefault="005F5B10" w:rsidP="007318B8">
      <w:pPr>
        <w:spacing w:before="120" w:after="120"/>
        <w:jc w:val="both"/>
        <w:rPr>
          <w:rFonts w:ascii="Times New Roman" w:hAnsi="Times New Roman" w:cs="Times New Roman"/>
          <w:b/>
          <w:sz w:val="24"/>
          <w:szCs w:val="24"/>
        </w:rPr>
      </w:pPr>
      <w:r w:rsidRPr="00F36A88">
        <w:rPr>
          <w:rFonts w:ascii="Times New Roman" w:hAnsi="Times New Roman" w:cs="Times New Roman"/>
          <w:b/>
          <w:sz w:val="24"/>
          <w:szCs w:val="24"/>
        </w:rPr>
        <w:t>Table</w:t>
      </w:r>
      <w:r w:rsidR="005819C3">
        <w:rPr>
          <w:rFonts w:ascii="Times New Roman" w:hAnsi="Times New Roman" w:cs="Times New Roman"/>
          <w:b/>
          <w:sz w:val="24"/>
          <w:szCs w:val="24"/>
        </w:rPr>
        <w:t>au</w:t>
      </w:r>
      <w:r w:rsidRPr="00F36A88">
        <w:rPr>
          <w:rFonts w:ascii="Times New Roman" w:hAnsi="Times New Roman" w:cs="Times New Roman"/>
          <w:b/>
          <w:sz w:val="24"/>
          <w:szCs w:val="24"/>
        </w:rPr>
        <w:t xml:space="preserve"> 1 : Répartition et exécution des ressources par activités du projet</w:t>
      </w:r>
      <w:r w:rsidR="004F7679" w:rsidRPr="00F36A88">
        <w:rPr>
          <w:rFonts w:ascii="Times New Roman" w:hAnsi="Times New Roman" w:cs="Times New Roman"/>
          <w:b/>
          <w:sz w:val="24"/>
          <w:szCs w:val="24"/>
        </w:rPr>
        <w:t xml:space="preserve"> en dollar US</w:t>
      </w:r>
    </w:p>
    <w:tbl>
      <w:tblPr>
        <w:tblW w:w="8804" w:type="dxa"/>
        <w:tblInd w:w="55" w:type="dxa"/>
        <w:tblCellMar>
          <w:left w:w="70" w:type="dxa"/>
          <w:right w:w="70" w:type="dxa"/>
        </w:tblCellMar>
        <w:tblLook w:val="04A0" w:firstRow="1" w:lastRow="0" w:firstColumn="1" w:lastColumn="0" w:noHBand="0" w:noVBand="1"/>
      </w:tblPr>
      <w:tblGrid>
        <w:gridCol w:w="2788"/>
        <w:gridCol w:w="1297"/>
        <w:gridCol w:w="1297"/>
        <w:gridCol w:w="1054"/>
        <w:gridCol w:w="1240"/>
        <w:gridCol w:w="1128"/>
      </w:tblGrid>
      <w:tr w:rsidR="00F36A88" w:rsidRPr="00F36A88" w:rsidTr="00F36A88">
        <w:trPr>
          <w:trHeight w:val="315"/>
        </w:trPr>
        <w:tc>
          <w:tcPr>
            <w:tcW w:w="2788" w:type="dxa"/>
            <w:vMerge w:val="restart"/>
            <w:tcBorders>
              <w:top w:val="double" w:sz="6" w:space="0" w:color="auto"/>
              <w:left w:val="nil"/>
              <w:bottom w:val="single" w:sz="4" w:space="0" w:color="000000"/>
              <w:right w:val="single" w:sz="4" w:space="0" w:color="auto"/>
            </w:tcBorders>
            <w:shd w:val="clear" w:color="auto" w:fill="auto"/>
            <w:vAlign w:val="center"/>
            <w:hideMark/>
          </w:tcPr>
          <w:p w:rsidR="00F36A88" w:rsidRPr="00F36A88" w:rsidRDefault="00F36A88" w:rsidP="00F36A88">
            <w:pPr>
              <w:spacing w:after="0" w:line="240" w:lineRule="auto"/>
              <w:jc w:val="both"/>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Activités</w:t>
            </w:r>
          </w:p>
        </w:tc>
        <w:tc>
          <w:tcPr>
            <w:tcW w:w="1297" w:type="dxa"/>
            <w:vMerge w:val="restart"/>
            <w:tcBorders>
              <w:top w:val="double" w:sz="6" w:space="0" w:color="auto"/>
              <w:left w:val="single" w:sz="4" w:space="0" w:color="auto"/>
              <w:bottom w:val="single" w:sz="4" w:space="0" w:color="auto"/>
              <w:right w:val="single" w:sz="4" w:space="0" w:color="auto"/>
            </w:tcBorders>
            <w:shd w:val="clear" w:color="auto" w:fill="auto"/>
            <w:hideMark/>
          </w:tcPr>
          <w:p w:rsidR="00F36A88" w:rsidRPr="00F36A88" w:rsidRDefault="00F36A88" w:rsidP="00F36A88">
            <w:pPr>
              <w:spacing w:after="0" w:line="240" w:lineRule="auto"/>
              <w:jc w:val="both"/>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 xml:space="preserve">Montant </w:t>
            </w:r>
          </w:p>
        </w:tc>
        <w:tc>
          <w:tcPr>
            <w:tcW w:w="2351" w:type="dxa"/>
            <w:gridSpan w:val="2"/>
            <w:tcBorders>
              <w:top w:val="double" w:sz="6" w:space="0" w:color="auto"/>
              <w:left w:val="single" w:sz="4" w:space="0" w:color="auto"/>
              <w:bottom w:val="single" w:sz="4" w:space="0" w:color="auto"/>
              <w:right w:val="single" w:sz="4" w:space="0" w:color="000000"/>
            </w:tcBorders>
            <w:shd w:val="clear" w:color="auto" w:fill="auto"/>
            <w:vAlign w:val="center"/>
            <w:hideMark/>
          </w:tcPr>
          <w:p w:rsidR="00F36A88" w:rsidRPr="00F36A88" w:rsidRDefault="00F36A88" w:rsidP="00F36A88">
            <w:pPr>
              <w:spacing w:after="0" w:line="240" w:lineRule="auto"/>
              <w:jc w:val="center"/>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 xml:space="preserve">Engagements </w:t>
            </w:r>
          </w:p>
        </w:tc>
        <w:tc>
          <w:tcPr>
            <w:tcW w:w="2368" w:type="dxa"/>
            <w:gridSpan w:val="2"/>
            <w:tcBorders>
              <w:top w:val="double" w:sz="6" w:space="0" w:color="auto"/>
              <w:left w:val="nil"/>
              <w:bottom w:val="single" w:sz="4" w:space="0" w:color="auto"/>
              <w:right w:val="nil"/>
            </w:tcBorders>
            <w:shd w:val="clear" w:color="auto" w:fill="auto"/>
            <w:vAlign w:val="center"/>
            <w:hideMark/>
          </w:tcPr>
          <w:p w:rsidR="00F36A88" w:rsidRPr="00F36A88" w:rsidRDefault="00F36A88" w:rsidP="00F36A88">
            <w:pPr>
              <w:spacing w:after="0" w:line="240" w:lineRule="auto"/>
              <w:jc w:val="center"/>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 xml:space="preserve">Paiements </w:t>
            </w:r>
          </w:p>
        </w:tc>
      </w:tr>
      <w:tr w:rsidR="00F36A88" w:rsidRPr="00F36A88" w:rsidTr="00F36A88">
        <w:trPr>
          <w:trHeight w:val="330"/>
        </w:trPr>
        <w:tc>
          <w:tcPr>
            <w:tcW w:w="2788" w:type="dxa"/>
            <w:vMerge/>
            <w:tcBorders>
              <w:top w:val="double" w:sz="6" w:space="0" w:color="auto"/>
              <w:left w:val="nil"/>
              <w:bottom w:val="single" w:sz="4" w:space="0" w:color="000000"/>
              <w:right w:val="single" w:sz="4" w:space="0" w:color="auto"/>
            </w:tcBorders>
            <w:vAlign w:val="center"/>
            <w:hideMark/>
          </w:tcPr>
          <w:p w:rsidR="00F36A88" w:rsidRPr="00F36A88" w:rsidRDefault="00F36A88" w:rsidP="00F36A88">
            <w:pPr>
              <w:spacing w:after="0" w:line="240" w:lineRule="auto"/>
              <w:rPr>
                <w:rFonts w:ascii="Times New Roman" w:eastAsia="Times New Roman" w:hAnsi="Times New Roman" w:cs="Times New Roman"/>
                <w:b/>
                <w:bCs/>
                <w:color w:val="000000"/>
              </w:rPr>
            </w:pPr>
          </w:p>
        </w:tc>
        <w:tc>
          <w:tcPr>
            <w:tcW w:w="1297" w:type="dxa"/>
            <w:vMerge/>
            <w:tcBorders>
              <w:top w:val="double" w:sz="6" w:space="0" w:color="auto"/>
              <w:left w:val="single" w:sz="4" w:space="0" w:color="auto"/>
              <w:bottom w:val="single" w:sz="4" w:space="0" w:color="auto"/>
              <w:right w:val="single" w:sz="4" w:space="0" w:color="auto"/>
            </w:tcBorders>
            <w:vAlign w:val="center"/>
            <w:hideMark/>
          </w:tcPr>
          <w:p w:rsidR="00F36A88" w:rsidRPr="00F36A88" w:rsidRDefault="00F36A88" w:rsidP="00F36A88">
            <w:pPr>
              <w:spacing w:after="0" w:line="240" w:lineRule="auto"/>
              <w:rPr>
                <w:rFonts w:ascii="Times New Roman" w:eastAsia="Times New Roman" w:hAnsi="Times New Roman" w:cs="Times New Roman"/>
                <w:b/>
                <w:bCs/>
                <w:color w:val="000000"/>
              </w:rPr>
            </w:pPr>
          </w:p>
        </w:tc>
        <w:tc>
          <w:tcPr>
            <w:tcW w:w="1297" w:type="dxa"/>
            <w:tcBorders>
              <w:top w:val="single" w:sz="4" w:space="0" w:color="auto"/>
              <w:left w:val="nil"/>
              <w:bottom w:val="single" w:sz="4" w:space="0" w:color="auto"/>
              <w:right w:val="single" w:sz="4" w:space="0" w:color="auto"/>
            </w:tcBorders>
            <w:shd w:val="clear" w:color="auto" w:fill="auto"/>
            <w:hideMark/>
          </w:tcPr>
          <w:p w:rsidR="00F36A88" w:rsidRPr="00F36A88" w:rsidRDefault="00F36A88" w:rsidP="00F36A88">
            <w:pPr>
              <w:spacing w:after="0" w:line="240" w:lineRule="auto"/>
              <w:jc w:val="both"/>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Montant</w:t>
            </w:r>
          </w:p>
        </w:tc>
        <w:tc>
          <w:tcPr>
            <w:tcW w:w="1054" w:type="dxa"/>
            <w:tcBorders>
              <w:top w:val="single" w:sz="4" w:space="0" w:color="auto"/>
              <w:left w:val="nil"/>
              <w:bottom w:val="single" w:sz="4" w:space="0" w:color="auto"/>
              <w:right w:val="single" w:sz="4" w:space="0" w:color="auto"/>
            </w:tcBorders>
            <w:shd w:val="clear" w:color="auto" w:fill="auto"/>
            <w:hideMark/>
          </w:tcPr>
          <w:p w:rsidR="00F36A88" w:rsidRPr="00F36A88" w:rsidRDefault="00F36A88" w:rsidP="00F36A88">
            <w:pPr>
              <w:spacing w:after="0" w:line="240" w:lineRule="auto"/>
              <w:jc w:val="both"/>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Part (%)</w:t>
            </w:r>
          </w:p>
        </w:tc>
        <w:tc>
          <w:tcPr>
            <w:tcW w:w="1240" w:type="dxa"/>
            <w:tcBorders>
              <w:top w:val="single" w:sz="4" w:space="0" w:color="auto"/>
              <w:left w:val="nil"/>
              <w:bottom w:val="single" w:sz="4" w:space="0" w:color="auto"/>
              <w:right w:val="single" w:sz="4" w:space="0" w:color="auto"/>
            </w:tcBorders>
            <w:shd w:val="clear" w:color="auto" w:fill="auto"/>
            <w:hideMark/>
          </w:tcPr>
          <w:p w:rsidR="00F36A88" w:rsidRPr="00F36A88" w:rsidRDefault="00F36A88" w:rsidP="00F36A88">
            <w:pPr>
              <w:spacing w:after="0" w:line="240" w:lineRule="auto"/>
              <w:jc w:val="both"/>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 xml:space="preserve">Montant </w:t>
            </w:r>
          </w:p>
        </w:tc>
        <w:tc>
          <w:tcPr>
            <w:tcW w:w="1128" w:type="dxa"/>
            <w:tcBorders>
              <w:top w:val="nil"/>
              <w:left w:val="single" w:sz="4" w:space="0" w:color="auto"/>
              <w:bottom w:val="single" w:sz="4" w:space="0" w:color="auto"/>
              <w:right w:val="nil"/>
            </w:tcBorders>
            <w:shd w:val="clear" w:color="auto" w:fill="auto"/>
            <w:hideMark/>
          </w:tcPr>
          <w:p w:rsidR="00F36A88" w:rsidRPr="00F36A88" w:rsidRDefault="00F36A88" w:rsidP="00F36A88">
            <w:pPr>
              <w:spacing w:after="0" w:line="240" w:lineRule="auto"/>
              <w:jc w:val="both"/>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Part (%)</w:t>
            </w:r>
          </w:p>
        </w:tc>
      </w:tr>
      <w:tr w:rsidR="00F36A88" w:rsidRPr="00F36A88" w:rsidTr="00F36A88">
        <w:trPr>
          <w:trHeight w:val="300"/>
        </w:trPr>
        <w:tc>
          <w:tcPr>
            <w:tcW w:w="2788" w:type="dxa"/>
            <w:tcBorders>
              <w:top w:val="nil"/>
              <w:left w:val="nil"/>
              <w:bottom w:val="single" w:sz="4" w:space="0" w:color="auto"/>
              <w:right w:val="single" w:sz="4" w:space="0" w:color="auto"/>
            </w:tcBorders>
            <w:shd w:val="clear" w:color="auto" w:fill="auto"/>
            <w:hideMark/>
          </w:tcPr>
          <w:p w:rsidR="00F36A88" w:rsidRPr="00F36A88" w:rsidRDefault="00F36A88" w:rsidP="00F36A88">
            <w:pPr>
              <w:spacing w:after="0" w:line="240" w:lineRule="auto"/>
              <w:jc w:val="both"/>
              <w:rPr>
                <w:rFonts w:ascii="Times New Roman" w:eastAsia="Times New Roman" w:hAnsi="Times New Roman" w:cs="Times New Roman"/>
                <w:color w:val="000000"/>
              </w:rPr>
            </w:pPr>
            <w:r w:rsidRPr="00F36A88">
              <w:rPr>
                <w:rFonts w:ascii="Times New Roman" w:eastAsia="Times New Roman" w:hAnsi="Times New Roman" w:cs="Times New Roman"/>
                <w:color w:val="000000"/>
              </w:rPr>
              <w:t>Etudes</w:t>
            </w:r>
          </w:p>
        </w:tc>
        <w:tc>
          <w:tcPr>
            <w:tcW w:w="1297" w:type="dxa"/>
            <w:tcBorders>
              <w:top w:val="nil"/>
              <w:left w:val="single" w:sz="4" w:space="0" w:color="auto"/>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9.881.009</w:t>
            </w:r>
          </w:p>
        </w:tc>
        <w:tc>
          <w:tcPr>
            <w:tcW w:w="1297" w:type="dxa"/>
            <w:tcBorders>
              <w:top w:val="nil"/>
              <w:left w:val="nil"/>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9.848.674</w:t>
            </w:r>
          </w:p>
        </w:tc>
        <w:tc>
          <w:tcPr>
            <w:tcW w:w="1054" w:type="dxa"/>
            <w:tcBorders>
              <w:top w:val="nil"/>
              <w:left w:val="nil"/>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99.67</w:t>
            </w:r>
          </w:p>
        </w:tc>
        <w:tc>
          <w:tcPr>
            <w:tcW w:w="1240" w:type="dxa"/>
            <w:tcBorders>
              <w:top w:val="nil"/>
              <w:left w:val="nil"/>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9.848.674</w:t>
            </w:r>
          </w:p>
        </w:tc>
        <w:tc>
          <w:tcPr>
            <w:tcW w:w="1128" w:type="dxa"/>
            <w:tcBorders>
              <w:top w:val="nil"/>
              <w:left w:val="single" w:sz="4" w:space="0" w:color="auto"/>
              <w:bottom w:val="single" w:sz="4" w:space="0" w:color="auto"/>
              <w:right w:val="nil"/>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99.67</w:t>
            </w:r>
          </w:p>
        </w:tc>
      </w:tr>
      <w:tr w:rsidR="00F36A88" w:rsidRPr="00F36A88" w:rsidTr="00F36A88">
        <w:trPr>
          <w:trHeight w:val="300"/>
        </w:trPr>
        <w:tc>
          <w:tcPr>
            <w:tcW w:w="2788" w:type="dxa"/>
            <w:tcBorders>
              <w:top w:val="nil"/>
              <w:left w:val="nil"/>
              <w:bottom w:val="single" w:sz="4" w:space="0" w:color="auto"/>
              <w:right w:val="single" w:sz="4" w:space="0" w:color="auto"/>
            </w:tcBorders>
            <w:shd w:val="clear" w:color="auto" w:fill="auto"/>
            <w:hideMark/>
          </w:tcPr>
          <w:p w:rsidR="00F36A88" w:rsidRPr="00F36A88" w:rsidRDefault="00F36A88" w:rsidP="00E22380">
            <w:pPr>
              <w:spacing w:after="0" w:line="240" w:lineRule="auto"/>
              <w:jc w:val="both"/>
              <w:rPr>
                <w:rFonts w:ascii="Times New Roman" w:eastAsia="Times New Roman" w:hAnsi="Times New Roman" w:cs="Times New Roman"/>
                <w:color w:val="000000"/>
              </w:rPr>
            </w:pPr>
            <w:r w:rsidRPr="00F36A88">
              <w:rPr>
                <w:rFonts w:ascii="Times New Roman" w:eastAsia="Times New Roman" w:hAnsi="Times New Roman" w:cs="Times New Roman"/>
                <w:color w:val="000000"/>
              </w:rPr>
              <w:t>R</w:t>
            </w:r>
            <w:r w:rsidR="00E22380">
              <w:rPr>
                <w:rFonts w:ascii="Times New Roman" w:eastAsia="Times New Roman" w:hAnsi="Times New Roman" w:cs="Times New Roman"/>
                <w:color w:val="000000"/>
              </w:rPr>
              <w:t>é</w:t>
            </w:r>
            <w:r w:rsidRPr="00F36A88">
              <w:rPr>
                <w:rFonts w:ascii="Times New Roman" w:eastAsia="Times New Roman" w:hAnsi="Times New Roman" w:cs="Times New Roman"/>
                <w:color w:val="000000"/>
              </w:rPr>
              <w:t>forme institutionnelle</w:t>
            </w:r>
          </w:p>
        </w:tc>
        <w:tc>
          <w:tcPr>
            <w:tcW w:w="1297" w:type="dxa"/>
            <w:tcBorders>
              <w:top w:val="nil"/>
              <w:left w:val="single" w:sz="4" w:space="0" w:color="auto"/>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11.033.882</w:t>
            </w:r>
          </w:p>
        </w:tc>
        <w:tc>
          <w:tcPr>
            <w:tcW w:w="1297" w:type="dxa"/>
            <w:tcBorders>
              <w:top w:val="nil"/>
              <w:left w:val="nil"/>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10.967.813</w:t>
            </w:r>
          </w:p>
        </w:tc>
        <w:tc>
          <w:tcPr>
            <w:tcW w:w="1054" w:type="dxa"/>
            <w:tcBorders>
              <w:top w:val="nil"/>
              <w:left w:val="nil"/>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99.40</w:t>
            </w:r>
          </w:p>
        </w:tc>
        <w:tc>
          <w:tcPr>
            <w:tcW w:w="1240" w:type="dxa"/>
            <w:tcBorders>
              <w:top w:val="nil"/>
              <w:left w:val="nil"/>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10.967.813</w:t>
            </w:r>
          </w:p>
        </w:tc>
        <w:tc>
          <w:tcPr>
            <w:tcW w:w="1128" w:type="dxa"/>
            <w:tcBorders>
              <w:top w:val="nil"/>
              <w:left w:val="single" w:sz="4" w:space="0" w:color="auto"/>
              <w:bottom w:val="single" w:sz="4" w:space="0" w:color="auto"/>
              <w:right w:val="nil"/>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99.40</w:t>
            </w:r>
          </w:p>
        </w:tc>
      </w:tr>
      <w:tr w:rsidR="00F36A88" w:rsidRPr="00F36A88" w:rsidTr="00F36A88">
        <w:trPr>
          <w:trHeight w:val="300"/>
        </w:trPr>
        <w:tc>
          <w:tcPr>
            <w:tcW w:w="2788" w:type="dxa"/>
            <w:tcBorders>
              <w:top w:val="nil"/>
              <w:left w:val="nil"/>
              <w:bottom w:val="single" w:sz="4" w:space="0" w:color="auto"/>
              <w:right w:val="single" w:sz="4" w:space="0" w:color="auto"/>
            </w:tcBorders>
            <w:shd w:val="clear" w:color="auto" w:fill="auto"/>
            <w:hideMark/>
          </w:tcPr>
          <w:p w:rsidR="00F36A88" w:rsidRPr="00F36A88" w:rsidRDefault="00F36A88" w:rsidP="00F36A88">
            <w:pPr>
              <w:spacing w:after="0" w:line="240" w:lineRule="auto"/>
              <w:jc w:val="both"/>
              <w:rPr>
                <w:rFonts w:ascii="Times New Roman" w:eastAsia="Times New Roman" w:hAnsi="Times New Roman" w:cs="Times New Roman"/>
                <w:color w:val="000000"/>
              </w:rPr>
            </w:pPr>
            <w:r w:rsidRPr="00F36A88">
              <w:rPr>
                <w:rFonts w:ascii="Times New Roman" w:eastAsia="Times New Roman" w:hAnsi="Times New Roman" w:cs="Times New Roman"/>
                <w:color w:val="000000"/>
              </w:rPr>
              <w:t>Sécurisation et voies d’accès</w:t>
            </w:r>
          </w:p>
        </w:tc>
        <w:tc>
          <w:tcPr>
            <w:tcW w:w="1297" w:type="dxa"/>
            <w:tcBorders>
              <w:top w:val="nil"/>
              <w:left w:val="single" w:sz="4" w:space="0" w:color="auto"/>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58.432.216</w:t>
            </w:r>
          </w:p>
        </w:tc>
        <w:tc>
          <w:tcPr>
            <w:tcW w:w="1297" w:type="dxa"/>
            <w:tcBorders>
              <w:top w:val="nil"/>
              <w:left w:val="nil"/>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58.390.316</w:t>
            </w:r>
          </w:p>
        </w:tc>
        <w:tc>
          <w:tcPr>
            <w:tcW w:w="1054" w:type="dxa"/>
            <w:tcBorders>
              <w:top w:val="nil"/>
              <w:left w:val="nil"/>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99.93</w:t>
            </w:r>
          </w:p>
        </w:tc>
        <w:tc>
          <w:tcPr>
            <w:tcW w:w="1240" w:type="dxa"/>
            <w:tcBorders>
              <w:top w:val="nil"/>
              <w:left w:val="nil"/>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58.390.316</w:t>
            </w:r>
          </w:p>
        </w:tc>
        <w:tc>
          <w:tcPr>
            <w:tcW w:w="1128" w:type="dxa"/>
            <w:tcBorders>
              <w:top w:val="nil"/>
              <w:left w:val="single" w:sz="4" w:space="0" w:color="auto"/>
              <w:bottom w:val="single" w:sz="4" w:space="0" w:color="auto"/>
              <w:right w:val="nil"/>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99.93</w:t>
            </w:r>
          </w:p>
        </w:tc>
      </w:tr>
      <w:tr w:rsidR="00F36A88" w:rsidRPr="00F36A88" w:rsidTr="00F36A88">
        <w:trPr>
          <w:trHeight w:val="300"/>
        </w:trPr>
        <w:tc>
          <w:tcPr>
            <w:tcW w:w="2788" w:type="dxa"/>
            <w:tcBorders>
              <w:top w:val="nil"/>
              <w:left w:val="nil"/>
              <w:bottom w:val="single" w:sz="4" w:space="0" w:color="auto"/>
              <w:right w:val="single" w:sz="4" w:space="0" w:color="auto"/>
            </w:tcBorders>
            <w:shd w:val="clear" w:color="auto" w:fill="auto"/>
            <w:hideMark/>
          </w:tcPr>
          <w:p w:rsidR="00F36A88" w:rsidRPr="00F36A88" w:rsidRDefault="00F36A88" w:rsidP="00F36A88">
            <w:pPr>
              <w:spacing w:after="0" w:line="240" w:lineRule="auto"/>
              <w:jc w:val="both"/>
              <w:rPr>
                <w:rFonts w:ascii="Times New Roman" w:eastAsia="Times New Roman" w:hAnsi="Times New Roman" w:cs="Times New Roman"/>
                <w:color w:val="000000"/>
              </w:rPr>
            </w:pPr>
            <w:r w:rsidRPr="00F36A88">
              <w:rPr>
                <w:rFonts w:ascii="Times New Roman" w:eastAsia="Times New Roman" w:hAnsi="Times New Roman" w:cs="Times New Roman"/>
                <w:color w:val="000000"/>
              </w:rPr>
              <w:t>Infrastructures d’extension</w:t>
            </w:r>
          </w:p>
        </w:tc>
        <w:tc>
          <w:tcPr>
            <w:tcW w:w="1297" w:type="dxa"/>
            <w:tcBorders>
              <w:top w:val="nil"/>
              <w:left w:val="single" w:sz="4" w:space="0" w:color="auto"/>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108.739.211</w:t>
            </w:r>
          </w:p>
        </w:tc>
        <w:tc>
          <w:tcPr>
            <w:tcW w:w="1297" w:type="dxa"/>
            <w:tcBorders>
              <w:top w:val="nil"/>
              <w:left w:val="nil"/>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108.697.185</w:t>
            </w:r>
          </w:p>
        </w:tc>
        <w:tc>
          <w:tcPr>
            <w:tcW w:w="1054" w:type="dxa"/>
            <w:tcBorders>
              <w:top w:val="nil"/>
              <w:left w:val="nil"/>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99.96</w:t>
            </w:r>
          </w:p>
        </w:tc>
        <w:tc>
          <w:tcPr>
            <w:tcW w:w="1240" w:type="dxa"/>
            <w:tcBorders>
              <w:top w:val="nil"/>
              <w:left w:val="nil"/>
              <w:bottom w:val="single" w:sz="4"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108.697.185</w:t>
            </w:r>
          </w:p>
        </w:tc>
        <w:tc>
          <w:tcPr>
            <w:tcW w:w="1128" w:type="dxa"/>
            <w:tcBorders>
              <w:top w:val="nil"/>
              <w:left w:val="single" w:sz="4" w:space="0" w:color="auto"/>
              <w:bottom w:val="single" w:sz="4" w:space="0" w:color="auto"/>
              <w:right w:val="nil"/>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color w:val="000000"/>
              </w:rPr>
            </w:pPr>
            <w:r w:rsidRPr="00F36A88">
              <w:rPr>
                <w:rFonts w:ascii="Times New Roman" w:eastAsia="Times New Roman" w:hAnsi="Times New Roman" w:cs="Times New Roman"/>
                <w:color w:val="000000"/>
              </w:rPr>
              <w:t>99.96</w:t>
            </w:r>
          </w:p>
        </w:tc>
      </w:tr>
      <w:tr w:rsidR="00F36A88" w:rsidRPr="00F36A88" w:rsidTr="00F36A88">
        <w:trPr>
          <w:trHeight w:val="330"/>
        </w:trPr>
        <w:tc>
          <w:tcPr>
            <w:tcW w:w="2788" w:type="dxa"/>
            <w:tcBorders>
              <w:top w:val="nil"/>
              <w:left w:val="nil"/>
              <w:bottom w:val="double" w:sz="6" w:space="0" w:color="auto"/>
              <w:right w:val="single" w:sz="4" w:space="0" w:color="auto"/>
            </w:tcBorders>
            <w:shd w:val="clear" w:color="auto" w:fill="auto"/>
            <w:hideMark/>
          </w:tcPr>
          <w:p w:rsidR="00F36A88" w:rsidRPr="00F36A88" w:rsidRDefault="00F36A88" w:rsidP="00F36A88">
            <w:pPr>
              <w:spacing w:after="0" w:line="240" w:lineRule="auto"/>
              <w:jc w:val="both"/>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 xml:space="preserve">Total </w:t>
            </w:r>
          </w:p>
        </w:tc>
        <w:tc>
          <w:tcPr>
            <w:tcW w:w="1297" w:type="dxa"/>
            <w:tcBorders>
              <w:top w:val="single" w:sz="4" w:space="0" w:color="auto"/>
              <w:left w:val="nil"/>
              <w:bottom w:val="double" w:sz="6"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188.086.318</w:t>
            </w:r>
          </w:p>
        </w:tc>
        <w:tc>
          <w:tcPr>
            <w:tcW w:w="1297" w:type="dxa"/>
            <w:tcBorders>
              <w:top w:val="single" w:sz="4" w:space="0" w:color="auto"/>
              <w:left w:val="nil"/>
              <w:bottom w:val="double" w:sz="6"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187.903.987</w:t>
            </w:r>
          </w:p>
        </w:tc>
        <w:tc>
          <w:tcPr>
            <w:tcW w:w="1054" w:type="dxa"/>
            <w:tcBorders>
              <w:top w:val="single" w:sz="4" w:space="0" w:color="auto"/>
              <w:left w:val="nil"/>
              <w:bottom w:val="double" w:sz="6"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99.90</w:t>
            </w:r>
          </w:p>
        </w:tc>
        <w:tc>
          <w:tcPr>
            <w:tcW w:w="1240" w:type="dxa"/>
            <w:tcBorders>
              <w:top w:val="single" w:sz="4" w:space="0" w:color="auto"/>
              <w:left w:val="nil"/>
              <w:bottom w:val="double" w:sz="6" w:space="0" w:color="auto"/>
              <w:right w:val="single" w:sz="4" w:space="0" w:color="auto"/>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187.903.987</w:t>
            </w:r>
          </w:p>
        </w:tc>
        <w:tc>
          <w:tcPr>
            <w:tcW w:w="1128" w:type="dxa"/>
            <w:tcBorders>
              <w:top w:val="nil"/>
              <w:left w:val="nil"/>
              <w:bottom w:val="double" w:sz="6" w:space="0" w:color="auto"/>
              <w:right w:val="nil"/>
            </w:tcBorders>
            <w:shd w:val="clear" w:color="auto" w:fill="auto"/>
            <w:hideMark/>
          </w:tcPr>
          <w:p w:rsidR="00F36A88" w:rsidRPr="00F36A88" w:rsidRDefault="00F36A88" w:rsidP="00B566CA">
            <w:pPr>
              <w:spacing w:after="0" w:line="240" w:lineRule="auto"/>
              <w:jc w:val="right"/>
              <w:rPr>
                <w:rFonts w:ascii="Times New Roman" w:eastAsia="Times New Roman" w:hAnsi="Times New Roman" w:cs="Times New Roman"/>
                <w:b/>
                <w:bCs/>
                <w:color w:val="000000"/>
              </w:rPr>
            </w:pPr>
            <w:r w:rsidRPr="00F36A88">
              <w:rPr>
                <w:rFonts w:ascii="Times New Roman" w:eastAsia="Times New Roman" w:hAnsi="Times New Roman" w:cs="Times New Roman"/>
                <w:b/>
                <w:bCs/>
                <w:color w:val="000000"/>
              </w:rPr>
              <w:t>99.90</w:t>
            </w:r>
          </w:p>
        </w:tc>
      </w:tr>
    </w:tbl>
    <w:p w:rsidR="005F5B10" w:rsidRDefault="004F7679" w:rsidP="007318B8">
      <w:pPr>
        <w:spacing w:before="120" w:after="120"/>
        <w:jc w:val="both"/>
        <w:rPr>
          <w:rFonts w:ascii="Times New Roman" w:hAnsi="Times New Roman" w:cs="Times New Roman"/>
          <w:sz w:val="24"/>
          <w:szCs w:val="24"/>
        </w:rPr>
      </w:pPr>
      <w:r>
        <w:rPr>
          <w:rFonts w:ascii="Times New Roman" w:hAnsi="Times New Roman" w:cs="Times New Roman"/>
          <w:sz w:val="24"/>
          <w:szCs w:val="24"/>
        </w:rPr>
        <w:t>Source : MCA Bénin, février 2012.</w:t>
      </w:r>
    </w:p>
    <w:p w:rsidR="00476A89" w:rsidRDefault="00BE1327" w:rsidP="004E6318">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Globalement, les ressources prévues dans le cadre du projet ont été engagées et exécutées </w:t>
      </w:r>
      <w:r w:rsidR="00846D88">
        <w:rPr>
          <w:rFonts w:ascii="Times New Roman" w:hAnsi="Times New Roman" w:cs="Times New Roman"/>
          <w:sz w:val="24"/>
          <w:szCs w:val="24"/>
        </w:rPr>
        <w:t>à</w:t>
      </w:r>
      <w:r>
        <w:rPr>
          <w:rFonts w:ascii="Times New Roman" w:hAnsi="Times New Roman" w:cs="Times New Roman"/>
          <w:sz w:val="24"/>
          <w:szCs w:val="24"/>
        </w:rPr>
        <w:t xml:space="preserve"> 99.9%. </w:t>
      </w:r>
      <w:r w:rsidR="00476A89">
        <w:rPr>
          <w:rFonts w:ascii="Times New Roman" w:hAnsi="Times New Roman" w:cs="Times New Roman"/>
          <w:sz w:val="24"/>
          <w:szCs w:val="24"/>
        </w:rPr>
        <w:t xml:space="preserve">En termes d’indicateurs d’activités, 160 agents du port ont bénéficié de renforcement de capacités techniques, un prolongement de l’épi d’arrêt de sable a été réalisé, deux quais ont été construits, 53 équipements de vidéosurveillance sont acquis dans le domaine de la sécurisation du port, un parc pour scanner est installé, un parking a été construit et trois voies d’accès des gros porteurs sont construites (MCA Bénin, 2012). </w:t>
      </w:r>
      <w:r>
        <w:rPr>
          <w:rFonts w:ascii="Times New Roman" w:hAnsi="Times New Roman" w:cs="Times New Roman"/>
          <w:sz w:val="24"/>
          <w:szCs w:val="24"/>
        </w:rPr>
        <w:t>Par ailleurs, l</w:t>
      </w:r>
      <w:r w:rsidR="00F36A88">
        <w:rPr>
          <w:rFonts w:ascii="Times New Roman" w:hAnsi="Times New Roman" w:cs="Times New Roman"/>
          <w:sz w:val="24"/>
          <w:szCs w:val="24"/>
        </w:rPr>
        <w:t xml:space="preserve">es résultats </w:t>
      </w:r>
      <w:r>
        <w:rPr>
          <w:rFonts w:ascii="Times New Roman" w:hAnsi="Times New Roman" w:cs="Times New Roman"/>
          <w:sz w:val="24"/>
          <w:szCs w:val="24"/>
        </w:rPr>
        <w:t>provisoires du projet estiment le nombre de bénéficiaires à 5.818.528 incluant (i) les agents des entreprises (opérateurs et usagers du port) et les membres de leurs ménages puis (ii) les consommateurs et les entreprises qui ont participé à la réalisation des activités prévues dans le cadre du projet ainsi que les membres de leurs ménages</w:t>
      </w:r>
      <w:r w:rsidR="00CD262D">
        <w:rPr>
          <w:rFonts w:ascii="Times New Roman" w:hAnsi="Times New Roman" w:cs="Times New Roman"/>
          <w:sz w:val="24"/>
          <w:szCs w:val="24"/>
        </w:rPr>
        <w:t xml:space="preserve"> (MCA Bénin, 2012)</w:t>
      </w:r>
      <w:r>
        <w:rPr>
          <w:rFonts w:ascii="Times New Roman" w:hAnsi="Times New Roman" w:cs="Times New Roman"/>
          <w:sz w:val="24"/>
          <w:szCs w:val="24"/>
        </w:rPr>
        <w:t xml:space="preserve">. </w:t>
      </w:r>
    </w:p>
    <w:p w:rsidR="00312605" w:rsidRDefault="00943911" w:rsidP="004E6318">
      <w:pPr>
        <w:spacing w:before="120" w:after="120"/>
        <w:jc w:val="both"/>
        <w:rPr>
          <w:rFonts w:ascii="Times New Roman" w:hAnsi="Times New Roman" w:cs="Times New Roman"/>
          <w:sz w:val="24"/>
          <w:szCs w:val="24"/>
        </w:rPr>
      </w:pPr>
      <w:r w:rsidRPr="00943911">
        <w:rPr>
          <w:rFonts w:ascii="Times New Roman" w:hAnsi="Times New Roman" w:cs="Times New Roman"/>
          <w:sz w:val="24"/>
          <w:szCs w:val="24"/>
        </w:rPr>
        <w:t xml:space="preserve">Dans le cadre des investissements de facilitation, s’inscrivent aussi l’acquisition et l’installation de système intégré de sécurité, de portails électroniques, d’équipements de traitement du Vrac solide, d’une station océanographique </w:t>
      </w:r>
      <w:r w:rsidR="005819C3">
        <w:rPr>
          <w:rFonts w:ascii="Times New Roman" w:hAnsi="Times New Roman" w:cs="Times New Roman"/>
          <w:sz w:val="24"/>
          <w:szCs w:val="24"/>
        </w:rPr>
        <w:t>ainsi que</w:t>
      </w:r>
      <w:r w:rsidRPr="00943911">
        <w:rPr>
          <w:rFonts w:ascii="Times New Roman" w:hAnsi="Times New Roman" w:cs="Times New Roman"/>
          <w:sz w:val="24"/>
          <w:szCs w:val="24"/>
        </w:rPr>
        <w:t xml:space="preserve"> d’équipement</w:t>
      </w:r>
      <w:r w:rsidR="005819C3">
        <w:rPr>
          <w:rFonts w:ascii="Times New Roman" w:hAnsi="Times New Roman" w:cs="Times New Roman"/>
          <w:sz w:val="24"/>
          <w:szCs w:val="24"/>
        </w:rPr>
        <w:t>s</w:t>
      </w:r>
      <w:r w:rsidRPr="00943911">
        <w:rPr>
          <w:rFonts w:ascii="Times New Roman" w:hAnsi="Times New Roman" w:cs="Times New Roman"/>
          <w:sz w:val="24"/>
          <w:szCs w:val="24"/>
        </w:rPr>
        <w:t xml:space="preserve"> antipollution. </w:t>
      </w:r>
      <w:r w:rsidR="005819C3">
        <w:rPr>
          <w:rFonts w:ascii="Times New Roman" w:hAnsi="Times New Roman" w:cs="Times New Roman"/>
          <w:sz w:val="24"/>
          <w:szCs w:val="24"/>
        </w:rPr>
        <w:t>L</w:t>
      </w:r>
      <w:r w:rsidR="00312605">
        <w:rPr>
          <w:rFonts w:ascii="Times New Roman" w:hAnsi="Times New Roman" w:cs="Times New Roman"/>
          <w:sz w:val="24"/>
          <w:szCs w:val="24"/>
        </w:rPr>
        <w:t>a</w:t>
      </w:r>
      <w:r w:rsidR="009E2CA6" w:rsidRPr="005456F7">
        <w:rPr>
          <w:rFonts w:ascii="Times New Roman" w:hAnsi="Times New Roman" w:cs="Times New Roman"/>
          <w:sz w:val="24"/>
          <w:szCs w:val="24"/>
        </w:rPr>
        <w:t xml:space="preserve"> modernisation du PAC </w:t>
      </w:r>
      <w:r w:rsidR="005819C3">
        <w:rPr>
          <w:rFonts w:ascii="Times New Roman" w:hAnsi="Times New Roman" w:cs="Times New Roman"/>
          <w:sz w:val="24"/>
          <w:szCs w:val="24"/>
        </w:rPr>
        <w:t>s</w:t>
      </w:r>
      <w:r w:rsidR="009E2CA6" w:rsidRPr="005456F7">
        <w:rPr>
          <w:rFonts w:ascii="Times New Roman" w:hAnsi="Times New Roman" w:cs="Times New Roman"/>
          <w:sz w:val="24"/>
          <w:szCs w:val="24"/>
        </w:rPr>
        <w:t xml:space="preserve">’est </w:t>
      </w:r>
      <w:r w:rsidR="005819C3">
        <w:rPr>
          <w:rFonts w:ascii="Times New Roman" w:hAnsi="Times New Roman" w:cs="Times New Roman"/>
          <w:sz w:val="24"/>
          <w:szCs w:val="24"/>
        </w:rPr>
        <w:t xml:space="preserve">poursuivie </w:t>
      </w:r>
      <w:r w:rsidR="00312605">
        <w:rPr>
          <w:rFonts w:ascii="Times New Roman" w:hAnsi="Times New Roman" w:cs="Times New Roman"/>
          <w:sz w:val="24"/>
          <w:szCs w:val="24"/>
        </w:rPr>
        <w:t xml:space="preserve">avec </w:t>
      </w:r>
      <w:r w:rsidR="009E2CA6" w:rsidRPr="005456F7">
        <w:rPr>
          <w:rFonts w:ascii="Times New Roman" w:hAnsi="Times New Roman" w:cs="Times New Roman"/>
          <w:sz w:val="24"/>
          <w:szCs w:val="24"/>
        </w:rPr>
        <w:t>la réforme sur le guichet unique devenue opérationnelle depuis 2011 avec l’automatisation des procédures pour une plus grande efficacité de la chaine logistique portuaire</w:t>
      </w:r>
      <w:r w:rsidR="00FC02E0">
        <w:rPr>
          <w:rFonts w:ascii="Times New Roman" w:hAnsi="Times New Roman" w:cs="Times New Roman"/>
          <w:sz w:val="24"/>
          <w:szCs w:val="24"/>
        </w:rPr>
        <w:t xml:space="preserve">, ce qui </w:t>
      </w:r>
      <w:r w:rsidR="009E2CA6" w:rsidRPr="005456F7">
        <w:rPr>
          <w:rFonts w:ascii="Times New Roman" w:hAnsi="Times New Roman" w:cs="Times New Roman"/>
          <w:sz w:val="24"/>
          <w:szCs w:val="24"/>
        </w:rPr>
        <w:t xml:space="preserve">est considérée comme une mesure de </w:t>
      </w:r>
      <w:r w:rsidR="009E2CA6" w:rsidRPr="005456F7">
        <w:rPr>
          <w:rFonts w:ascii="Times New Roman" w:hAnsi="Times New Roman" w:cs="Times New Roman"/>
          <w:sz w:val="24"/>
          <w:szCs w:val="24"/>
        </w:rPr>
        <w:lastRenderedPageBreak/>
        <w:t>facilitation majeure</w:t>
      </w:r>
      <w:r w:rsidR="00FC02E0">
        <w:rPr>
          <w:rFonts w:ascii="Times New Roman" w:hAnsi="Times New Roman" w:cs="Times New Roman"/>
          <w:sz w:val="24"/>
          <w:szCs w:val="24"/>
        </w:rPr>
        <w:t xml:space="preserve"> dans le cadre des accords</w:t>
      </w:r>
      <w:r w:rsidR="009E2CA6" w:rsidRPr="005456F7">
        <w:rPr>
          <w:rStyle w:val="Appelnotedebasdep"/>
          <w:rFonts w:ascii="Times New Roman" w:hAnsi="Times New Roman" w:cs="Times New Roman"/>
          <w:sz w:val="24"/>
          <w:szCs w:val="24"/>
        </w:rPr>
        <w:footnoteReference w:id="2"/>
      </w:r>
      <w:r w:rsidR="009E2CA6" w:rsidRPr="005456F7">
        <w:rPr>
          <w:rFonts w:ascii="Times New Roman" w:hAnsi="Times New Roman" w:cs="Times New Roman"/>
          <w:sz w:val="24"/>
          <w:szCs w:val="24"/>
        </w:rPr>
        <w:t xml:space="preserve"> (OMD, 2011). </w:t>
      </w:r>
      <w:r w:rsidR="005819C3">
        <w:rPr>
          <w:rFonts w:ascii="Times New Roman" w:hAnsi="Times New Roman" w:cs="Times New Roman"/>
          <w:sz w:val="24"/>
          <w:szCs w:val="24"/>
        </w:rPr>
        <w:t>Justifié p</w:t>
      </w:r>
      <w:r w:rsidR="00A719DA">
        <w:rPr>
          <w:rFonts w:ascii="Times New Roman" w:hAnsi="Times New Roman" w:cs="Times New Roman"/>
          <w:sz w:val="24"/>
          <w:szCs w:val="24"/>
        </w:rPr>
        <w:t xml:space="preserve">ar la réduction de temps de transit, </w:t>
      </w:r>
      <w:r w:rsidR="007B2203">
        <w:rPr>
          <w:rFonts w:ascii="Times New Roman" w:hAnsi="Times New Roman" w:cs="Times New Roman"/>
          <w:sz w:val="24"/>
          <w:szCs w:val="24"/>
        </w:rPr>
        <w:t>la transparence du processus de dédouanement et la sécurisation des recettes douanières, le guichet unique devrait permettre d’optimiser, de gérer et d’automatiser les processus portuaires et logistiques grâce à une prés</w:t>
      </w:r>
      <w:r w:rsidR="005819C3">
        <w:rPr>
          <w:rFonts w:ascii="Times New Roman" w:hAnsi="Times New Roman" w:cs="Times New Roman"/>
          <w:sz w:val="24"/>
          <w:szCs w:val="24"/>
        </w:rPr>
        <w:t xml:space="preserve">entation unique des données et une </w:t>
      </w:r>
      <w:r w:rsidR="007B2203">
        <w:rPr>
          <w:rFonts w:ascii="Times New Roman" w:hAnsi="Times New Roman" w:cs="Times New Roman"/>
          <w:sz w:val="24"/>
          <w:szCs w:val="24"/>
        </w:rPr>
        <w:t xml:space="preserve">connexion des </w:t>
      </w:r>
      <w:r w:rsidR="005819C3">
        <w:rPr>
          <w:rFonts w:ascii="Times New Roman" w:hAnsi="Times New Roman" w:cs="Times New Roman"/>
          <w:sz w:val="24"/>
          <w:szCs w:val="24"/>
        </w:rPr>
        <w:t>différentes chaînes</w:t>
      </w:r>
      <w:r w:rsidR="007B2203">
        <w:rPr>
          <w:rFonts w:ascii="Times New Roman" w:hAnsi="Times New Roman" w:cs="Times New Roman"/>
          <w:sz w:val="24"/>
          <w:szCs w:val="24"/>
        </w:rPr>
        <w:t xml:space="preserve">. </w:t>
      </w:r>
      <w:r w:rsidR="00312605" w:rsidRPr="00312605">
        <w:rPr>
          <w:rFonts w:ascii="Times New Roman" w:hAnsi="Times New Roman" w:cs="Times New Roman"/>
          <w:sz w:val="24"/>
          <w:szCs w:val="24"/>
        </w:rPr>
        <w:t xml:space="preserve">Par ailleurs, les travaux confortatifs entrepris avec des opérateurs privés, les Groupes Bolloré et </w:t>
      </w:r>
      <w:proofErr w:type="spellStart"/>
      <w:r w:rsidR="00312605" w:rsidRPr="00312605">
        <w:rPr>
          <w:rFonts w:ascii="Times New Roman" w:hAnsi="Times New Roman" w:cs="Times New Roman"/>
          <w:sz w:val="24"/>
          <w:szCs w:val="24"/>
        </w:rPr>
        <w:t>Maersk</w:t>
      </w:r>
      <w:proofErr w:type="spellEnd"/>
      <w:r w:rsidR="00312605" w:rsidRPr="00312605">
        <w:rPr>
          <w:rFonts w:ascii="Times New Roman" w:hAnsi="Times New Roman" w:cs="Times New Roman"/>
          <w:sz w:val="24"/>
          <w:szCs w:val="24"/>
        </w:rPr>
        <w:t xml:space="preserve"> notamment, ont permis de renforcer les travaux et acquisitions réalisés dans le cadre du programme MCA. Fruit du partenariat entre les secteurs public et privé, le nouveau système logistique </w:t>
      </w:r>
      <w:r w:rsidR="00312605">
        <w:rPr>
          <w:rFonts w:ascii="Times New Roman" w:hAnsi="Times New Roman" w:cs="Times New Roman"/>
          <w:sz w:val="24"/>
          <w:szCs w:val="24"/>
        </w:rPr>
        <w:t>"</w:t>
      </w:r>
      <w:r w:rsidR="00312605" w:rsidRPr="00312605">
        <w:rPr>
          <w:rFonts w:ascii="Times New Roman" w:hAnsi="Times New Roman" w:cs="Times New Roman"/>
          <w:sz w:val="24"/>
          <w:szCs w:val="24"/>
        </w:rPr>
        <w:t>fenêtre d’accostage</w:t>
      </w:r>
      <w:r w:rsidR="00312605">
        <w:rPr>
          <w:rFonts w:ascii="Times New Roman" w:hAnsi="Times New Roman" w:cs="Times New Roman"/>
          <w:sz w:val="24"/>
          <w:szCs w:val="24"/>
        </w:rPr>
        <w:t>"</w:t>
      </w:r>
      <w:r w:rsidR="00312605" w:rsidRPr="00312605">
        <w:rPr>
          <w:rFonts w:ascii="Times New Roman" w:hAnsi="Times New Roman" w:cs="Times New Roman"/>
          <w:sz w:val="24"/>
          <w:szCs w:val="24"/>
        </w:rPr>
        <w:t xml:space="preserve"> installé en 2009 aurait permis de réduire de 60% le temps d’attente au PAC</w:t>
      </w:r>
      <w:r w:rsidR="00312605" w:rsidRPr="00312605">
        <w:rPr>
          <w:rStyle w:val="Appelnotedebasdep"/>
          <w:rFonts w:ascii="Times New Roman" w:hAnsi="Times New Roman" w:cs="Times New Roman"/>
          <w:sz w:val="24"/>
          <w:szCs w:val="24"/>
        </w:rPr>
        <w:footnoteReference w:id="3"/>
      </w:r>
      <w:r w:rsidR="00312605" w:rsidRPr="00312605">
        <w:rPr>
          <w:rFonts w:ascii="Times New Roman" w:hAnsi="Times New Roman" w:cs="Times New Roman"/>
          <w:sz w:val="24"/>
          <w:szCs w:val="24"/>
        </w:rPr>
        <w:t>.</w:t>
      </w:r>
    </w:p>
    <w:p w:rsidR="00DF4033" w:rsidRPr="00E3108B" w:rsidRDefault="00312605" w:rsidP="00312605">
      <w:pPr>
        <w:spacing w:before="120" w:after="120"/>
        <w:jc w:val="both"/>
        <w:rPr>
          <w:rFonts w:ascii="Times New Roman" w:hAnsi="Times New Roman" w:cs="Times New Roman"/>
          <w:sz w:val="24"/>
          <w:szCs w:val="24"/>
        </w:rPr>
      </w:pPr>
      <w:r>
        <w:rPr>
          <w:rFonts w:ascii="Times New Roman" w:hAnsi="Times New Roman" w:cs="Times New Roman"/>
          <w:sz w:val="24"/>
          <w:szCs w:val="24"/>
        </w:rPr>
        <w:t>E</w:t>
      </w:r>
      <w:r w:rsidR="004E6318" w:rsidRPr="005456F7">
        <w:rPr>
          <w:rFonts w:ascii="Times New Roman" w:hAnsi="Times New Roman" w:cs="Times New Roman"/>
          <w:sz w:val="24"/>
          <w:szCs w:val="24"/>
        </w:rPr>
        <w:t>n appoint à ces investissements au PAC, d</w:t>
      </w:r>
      <w:r w:rsidR="004E6318" w:rsidRPr="005456F7">
        <w:rPr>
          <w:rFonts w:ascii="Times New Roman" w:eastAsia="Times New Roman" w:hAnsi="Times New Roman" w:cs="Times New Roman"/>
          <w:sz w:val="24"/>
          <w:szCs w:val="24"/>
        </w:rPr>
        <w:t xml:space="preserve">ifférentes réformes sont entreprises dans le sens de l’amélioration du climat des affaires au Bénin, entrant dans le cadre de la facilitation du commerce transfrontalier. Au nombre de ces réformes qui renforcent les mesures de facilitation au PAC, il y a </w:t>
      </w:r>
      <w:r w:rsidRPr="00312605">
        <w:rPr>
          <w:rFonts w:ascii="Times New Roman" w:hAnsi="Times New Roman" w:cs="Times New Roman"/>
          <w:sz w:val="24"/>
          <w:szCs w:val="24"/>
        </w:rPr>
        <w:t xml:space="preserve">les mesures de dématérialisation dont celle du Bordereau de frais unique et celle du contrôle des informations du Bordereau électronique de suivi des cargaisons. Dans le cadre du transit, </w:t>
      </w:r>
      <w:r w:rsidR="00DF4033">
        <w:rPr>
          <w:rFonts w:ascii="Times New Roman" w:hAnsi="Times New Roman" w:cs="Times New Roman"/>
          <w:sz w:val="24"/>
          <w:szCs w:val="24"/>
        </w:rPr>
        <w:t xml:space="preserve">il y a eu une </w:t>
      </w:r>
      <w:r w:rsidRPr="00312605">
        <w:rPr>
          <w:rFonts w:ascii="Times New Roman" w:hAnsi="Times New Roman" w:cs="Times New Roman"/>
          <w:sz w:val="24"/>
          <w:szCs w:val="24"/>
        </w:rPr>
        <w:t>réglement</w:t>
      </w:r>
      <w:r w:rsidR="00DF4033">
        <w:rPr>
          <w:rFonts w:ascii="Times New Roman" w:hAnsi="Times New Roman" w:cs="Times New Roman"/>
          <w:sz w:val="24"/>
          <w:szCs w:val="24"/>
        </w:rPr>
        <w:t>ation du</w:t>
      </w:r>
      <w:r w:rsidRPr="00312605">
        <w:rPr>
          <w:rFonts w:ascii="Times New Roman" w:hAnsi="Times New Roman" w:cs="Times New Roman"/>
          <w:sz w:val="24"/>
          <w:szCs w:val="24"/>
        </w:rPr>
        <w:t xml:space="preserve"> contrôle routier </w:t>
      </w:r>
      <w:r w:rsidR="00DF4033">
        <w:rPr>
          <w:rFonts w:ascii="Times New Roman" w:hAnsi="Times New Roman" w:cs="Times New Roman"/>
          <w:sz w:val="24"/>
          <w:szCs w:val="24"/>
        </w:rPr>
        <w:t>avec la détermination et la limitation du</w:t>
      </w:r>
      <w:r w:rsidRPr="00312605">
        <w:rPr>
          <w:rFonts w:ascii="Times New Roman" w:hAnsi="Times New Roman" w:cs="Times New Roman"/>
          <w:sz w:val="24"/>
          <w:szCs w:val="24"/>
        </w:rPr>
        <w:t xml:space="preserve"> nombre de postes de contrôle conjoint sur le corridor béninois.</w:t>
      </w:r>
      <w:r w:rsidRPr="00312605">
        <w:rPr>
          <w:rFonts w:ascii="Times New Roman" w:eastAsia="Times New Roman" w:hAnsi="Times New Roman" w:cs="Times New Roman"/>
          <w:sz w:val="24"/>
          <w:szCs w:val="24"/>
        </w:rPr>
        <w:t xml:space="preserve"> Enfin, les mesures de facilitation des échanges au PAC</w:t>
      </w:r>
      <w:r w:rsidR="00DF4033">
        <w:rPr>
          <w:rFonts w:ascii="Times New Roman" w:eastAsia="Times New Roman" w:hAnsi="Times New Roman" w:cs="Times New Roman"/>
          <w:sz w:val="24"/>
          <w:szCs w:val="24"/>
        </w:rPr>
        <w:t xml:space="preserve"> ont </w:t>
      </w:r>
      <w:r w:rsidR="005819C3">
        <w:rPr>
          <w:rFonts w:ascii="Times New Roman" w:eastAsia="Times New Roman" w:hAnsi="Times New Roman" w:cs="Times New Roman"/>
          <w:sz w:val="24"/>
          <w:szCs w:val="24"/>
        </w:rPr>
        <w:t xml:space="preserve">aussi </w:t>
      </w:r>
      <w:r w:rsidR="00DF4033">
        <w:rPr>
          <w:rFonts w:ascii="Times New Roman" w:eastAsia="Times New Roman" w:hAnsi="Times New Roman" w:cs="Times New Roman"/>
          <w:sz w:val="24"/>
          <w:szCs w:val="24"/>
        </w:rPr>
        <w:t xml:space="preserve">concerné </w:t>
      </w:r>
      <w:r w:rsidRPr="00312605">
        <w:rPr>
          <w:rFonts w:ascii="Times New Roman" w:eastAsia="Times New Roman" w:hAnsi="Times New Roman" w:cs="Times New Roman"/>
          <w:sz w:val="24"/>
          <w:szCs w:val="24"/>
        </w:rPr>
        <w:t>la simplification des procédures d’exportation et d’importation (documentation</w:t>
      </w:r>
      <w:r w:rsidR="00DF4033">
        <w:rPr>
          <w:rFonts w:ascii="Times New Roman" w:eastAsia="Times New Roman" w:hAnsi="Times New Roman" w:cs="Times New Roman"/>
          <w:sz w:val="24"/>
          <w:szCs w:val="24"/>
        </w:rPr>
        <w:t xml:space="preserve"> et processus</w:t>
      </w:r>
      <w:r w:rsidRPr="00312605">
        <w:rPr>
          <w:rFonts w:ascii="Times New Roman" w:eastAsia="Times New Roman" w:hAnsi="Times New Roman" w:cs="Times New Roman"/>
          <w:sz w:val="24"/>
          <w:szCs w:val="24"/>
        </w:rPr>
        <w:t>) puis la réduction des délais et des coûts liés aux échanges extérieurs.</w:t>
      </w:r>
      <w:r w:rsidRPr="00312605">
        <w:rPr>
          <w:rFonts w:ascii="Times New Roman" w:hAnsi="Times New Roman" w:cs="Times New Roman"/>
          <w:sz w:val="24"/>
          <w:szCs w:val="24"/>
        </w:rPr>
        <w:t xml:space="preserve"> D’après le Conseil Présidentiel de l’Investissement (CPI) qui administre ces réformes, la mise en œuvre du Bordereau de frais unique aurait contribué à réduire le temps de traitement de paiement, </w:t>
      </w:r>
      <w:r w:rsidRPr="00E3108B">
        <w:rPr>
          <w:rFonts w:ascii="Times New Roman" w:hAnsi="Times New Roman" w:cs="Times New Roman"/>
          <w:sz w:val="24"/>
          <w:szCs w:val="24"/>
        </w:rPr>
        <w:t xml:space="preserve">passant de cinq (05) jours à environ sept (07) minutes. </w:t>
      </w:r>
    </w:p>
    <w:p w:rsidR="004E6318" w:rsidRDefault="00E3108B" w:rsidP="004E6318">
      <w:pPr>
        <w:spacing w:before="120" w:after="120"/>
        <w:jc w:val="both"/>
        <w:rPr>
          <w:rFonts w:ascii="Times New Roman" w:hAnsi="Times New Roman" w:cs="Times New Roman"/>
          <w:sz w:val="24"/>
          <w:szCs w:val="24"/>
        </w:rPr>
      </w:pPr>
      <w:r w:rsidRPr="00E3108B">
        <w:rPr>
          <w:rFonts w:ascii="Times New Roman" w:hAnsi="Times New Roman" w:cs="Times New Roman"/>
          <w:sz w:val="24"/>
          <w:szCs w:val="24"/>
        </w:rPr>
        <w:t>Depuis 2009, consécutivement aux investissements et réformes dans la chaine portuai</w:t>
      </w:r>
      <w:r w:rsidR="005819C3">
        <w:rPr>
          <w:rFonts w:ascii="Times New Roman" w:hAnsi="Times New Roman" w:cs="Times New Roman"/>
          <w:sz w:val="24"/>
          <w:szCs w:val="24"/>
        </w:rPr>
        <w:t>re et logistique, des performances sont enregistrées</w:t>
      </w:r>
      <w:r w:rsidRPr="00E3108B">
        <w:rPr>
          <w:rFonts w:ascii="Times New Roman" w:hAnsi="Times New Roman" w:cs="Times New Roman"/>
          <w:sz w:val="24"/>
          <w:szCs w:val="24"/>
        </w:rPr>
        <w:t xml:space="preserve"> (Alix, 2009). </w:t>
      </w:r>
      <w:r w:rsidRPr="00E3108B">
        <w:rPr>
          <w:rFonts w:ascii="Times New Roman" w:eastAsia="Times New Roman" w:hAnsi="Times New Roman" w:cs="Times New Roman"/>
          <w:sz w:val="24"/>
          <w:szCs w:val="24"/>
        </w:rPr>
        <w:t xml:space="preserve">Théoriquement, les investissements dans les infrastructures portuaires visent à dynamiser et accroître substantiellement le volume des échanges commerciaux au PAC. Etant donné la contribution du secteur aux recettes publiques et surtout ses effets diffus d’entrainement sur les autres secteurs, l’emploi et la croissance du produit doivent en être affectés. </w:t>
      </w:r>
      <w:r>
        <w:rPr>
          <w:rFonts w:ascii="Times New Roman" w:hAnsi="Times New Roman" w:cs="Times New Roman"/>
          <w:sz w:val="24"/>
          <w:szCs w:val="24"/>
        </w:rPr>
        <w:t>Au titre des effets directs et indirects,</w:t>
      </w:r>
      <w:r w:rsidRPr="00312605">
        <w:rPr>
          <w:rFonts w:ascii="Times New Roman" w:hAnsi="Times New Roman" w:cs="Times New Roman"/>
          <w:sz w:val="24"/>
          <w:szCs w:val="24"/>
        </w:rPr>
        <w:t xml:space="preserve"> </w:t>
      </w:r>
      <w:r>
        <w:rPr>
          <w:rFonts w:ascii="Times New Roman" w:hAnsi="Times New Roman" w:cs="Times New Roman"/>
          <w:sz w:val="24"/>
          <w:szCs w:val="24"/>
        </w:rPr>
        <w:t>i</w:t>
      </w:r>
      <w:r w:rsidR="00312605" w:rsidRPr="00312605">
        <w:rPr>
          <w:rFonts w:ascii="Times New Roman" w:hAnsi="Times New Roman" w:cs="Times New Roman"/>
          <w:sz w:val="24"/>
          <w:szCs w:val="24"/>
        </w:rPr>
        <w:t>l est attendu de ces réformes pour lesquelles, la Douane béninoise, le Conseil National des Chargeurs du Bénin (CNCB), le SEGUB et la STTB constituent des acteurs clés, une réduction des délais d’attente et du coût des opérations</w:t>
      </w:r>
      <w:r w:rsidR="00943911">
        <w:rPr>
          <w:rFonts w:ascii="Times New Roman" w:hAnsi="Times New Roman" w:cs="Times New Roman"/>
          <w:sz w:val="24"/>
          <w:szCs w:val="24"/>
        </w:rPr>
        <w:t xml:space="preserve">, laquelle </w:t>
      </w:r>
      <w:r w:rsidR="00943911" w:rsidRPr="005456F7">
        <w:rPr>
          <w:rFonts w:ascii="Times New Roman" w:hAnsi="Times New Roman" w:cs="Times New Roman"/>
          <w:sz w:val="24"/>
          <w:szCs w:val="24"/>
        </w:rPr>
        <w:t>permet</w:t>
      </w:r>
      <w:r w:rsidR="00943911">
        <w:rPr>
          <w:rFonts w:ascii="Times New Roman" w:hAnsi="Times New Roman" w:cs="Times New Roman"/>
          <w:sz w:val="24"/>
          <w:szCs w:val="24"/>
        </w:rPr>
        <w:t>tait</w:t>
      </w:r>
      <w:r w:rsidR="00943911" w:rsidRPr="005456F7">
        <w:rPr>
          <w:rFonts w:ascii="Times New Roman" w:hAnsi="Times New Roman" w:cs="Times New Roman"/>
          <w:sz w:val="24"/>
          <w:szCs w:val="24"/>
        </w:rPr>
        <w:t xml:space="preserve"> d’</w:t>
      </w:r>
      <w:r w:rsidR="00943911">
        <w:rPr>
          <w:rFonts w:ascii="Times New Roman" w:hAnsi="Times New Roman" w:cs="Times New Roman"/>
          <w:sz w:val="24"/>
          <w:szCs w:val="24"/>
        </w:rPr>
        <w:t xml:space="preserve">accroître </w:t>
      </w:r>
      <w:r w:rsidR="00943911" w:rsidRPr="005456F7">
        <w:rPr>
          <w:rFonts w:ascii="Times New Roman" w:hAnsi="Times New Roman" w:cs="Times New Roman"/>
          <w:sz w:val="24"/>
          <w:szCs w:val="24"/>
        </w:rPr>
        <w:t xml:space="preserve">le volume des importations </w:t>
      </w:r>
      <w:r w:rsidR="00943911">
        <w:rPr>
          <w:rFonts w:ascii="Times New Roman" w:hAnsi="Times New Roman" w:cs="Times New Roman"/>
          <w:sz w:val="24"/>
          <w:szCs w:val="24"/>
        </w:rPr>
        <w:t>mais aussi de</w:t>
      </w:r>
      <w:r w:rsidR="00943911" w:rsidRPr="005456F7">
        <w:rPr>
          <w:rFonts w:ascii="Times New Roman" w:hAnsi="Times New Roman" w:cs="Times New Roman"/>
          <w:sz w:val="24"/>
          <w:szCs w:val="24"/>
        </w:rPr>
        <w:t xml:space="preserve">s exportations. </w:t>
      </w:r>
      <w:r w:rsidR="006101A1" w:rsidRPr="005456F7">
        <w:rPr>
          <w:rFonts w:ascii="Times New Roman" w:hAnsi="Times New Roman" w:cs="Times New Roman"/>
          <w:sz w:val="24"/>
          <w:szCs w:val="24"/>
        </w:rPr>
        <w:t xml:space="preserve">Comme l’indique </w:t>
      </w:r>
      <w:proofErr w:type="spellStart"/>
      <w:r w:rsidR="006101A1" w:rsidRPr="005456F7">
        <w:rPr>
          <w:rFonts w:ascii="Times New Roman" w:hAnsi="Times New Roman" w:cs="Times New Roman"/>
          <w:sz w:val="24"/>
          <w:szCs w:val="24"/>
        </w:rPr>
        <w:t>Rippel</w:t>
      </w:r>
      <w:proofErr w:type="spellEnd"/>
      <w:r w:rsidR="006101A1" w:rsidRPr="005456F7">
        <w:rPr>
          <w:rFonts w:ascii="Times New Roman" w:hAnsi="Times New Roman" w:cs="Times New Roman"/>
          <w:sz w:val="24"/>
          <w:szCs w:val="24"/>
        </w:rPr>
        <w:t xml:space="preserve"> (2011),</w:t>
      </w:r>
      <w:r w:rsidR="009E2CA6" w:rsidRPr="005456F7">
        <w:rPr>
          <w:rFonts w:ascii="Times New Roman" w:hAnsi="Times New Roman" w:cs="Times New Roman"/>
          <w:sz w:val="24"/>
          <w:szCs w:val="24"/>
        </w:rPr>
        <w:t xml:space="preserve"> les politiques de facilitation des échanges permettent de réduire les coûts du commerce, d’augmenter la compétitivité des entreprises, d’améliorer les </w:t>
      </w:r>
      <w:r w:rsidR="00BC3232">
        <w:rPr>
          <w:rFonts w:ascii="Times New Roman" w:hAnsi="Times New Roman" w:cs="Times New Roman"/>
          <w:sz w:val="24"/>
          <w:szCs w:val="24"/>
        </w:rPr>
        <w:t>capacités d’</w:t>
      </w:r>
      <w:r w:rsidR="009E2CA6" w:rsidRPr="005456F7">
        <w:rPr>
          <w:rFonts w:ascii="Times New Roman" w:hAnsi="Times New Roman" w:cs="Times New Roman"/>
          <w:sz w:val="24"/>
          <w:szCs w:val="24"/>
        </w:rPr>
        <w:t>exportation</w:t>
      </w:r>
      <w:r w:rsidR="00BC3232">
        <w:rPr>
          <w:rFonts w:ascii="Times New Roman" w:hAnsi="Times New Roman" w:cs="Times New Roman"/>
          <w:sz w:val="24"/>
          <w:szCs w:val="24"/>
        </w:rPr>
        <w:t xml:space="preserve"> et d’</w:t>
      </w:r>
      <w:r w:rsidR="009E2CA6" w:rsidRPr="005456F7">
        <w:rPr>
          <w:rFonts w:ascii="Times New Roman" w:hAnsi="Times New Roman" w:cs="Times New Roman"/>
          <w:sz w:val="24"/>
          <w:szCs w:val="24"/>
        </w:rPr>
        <w:t>importation</w:t>
      </w:r>
      <w:r w:rsidR="00BC3232">
        <w:rPr>
          <w:rFonts w:ascii="Times New Roman" w:hAnsi="Times New Roman" w:cs="Times New Roman"/>
          <w:sz w:val="24"/>
          <w:szCs w:val="24"/>
        </w:rPr>
        <w:t xml:space="preserve"> des pays</w:t>
      </w:r>
      <w:r w:rsidR="009E2CA6" w:rsidRPr="005456F7">
        <w:rPr>
          <w:rFonts w:ascii="Times New Roman" w:hAnsi="Times New Roman" w:cs="Times New Roman"/>
          <w:sz w:val="24"/>
          <w:szCs w:val="24"/>
        </w:rPr>
        <w:t>, de créer davantage d’emplois, de générer de la croissance économique et donc de réduire la pauvreté.</w:t>
      </w:r>
      <w:r w:rsidR="00E354A4" w:rsidRPr="005456F7">
        <w:rPr>
          <w:rFonts w:ascii="Times New Roman" w:hAnsi="Times New Roman" w:cs="Times New Roman"/>
          <w:sz w:val="24"/>
          <w:szCs w:val="24"/>
        </w:rPr>
        <w:t xml:space="preserve"> </w:t>
      </w:r>
    </w:p>
    <w:p w:rsidR="00D30974" w:rsidRPr="005456F7" w:rsidRDefault="002A0E7D" w:rsidP="004E6318">
      <w:pPr>
        <w:spacing w:before="120" w:after="120"/>
        <w:jc w:val="both"/>
        <w:rPr>
          <w:rFonts w:ascii="Times New Roman" w:hAnsi="Times New Roman" w:cs="Times New Roman"/>
          <w:sz w:val="24"/>
          <w:szCs w:val="24"/>
        </w:rPr>
      </w:pPr>
      <w:r w:rsidRPr="005456F7">
        <w:rPr>
          <w:rFonts w:ascii="Times New Roman" w:hAnsi="Times New Roman" w:cs="Times New Roman"/>
          <w:sz w:val="24"/>
          <w:szCs w:val="24"/>
        </w:rPr>
        <w:t>L</w:t>
      </w:r>
      <w:r w:rsidR="005819C3">
        <w:rPr>
          <w:rFonts w:ascii="Times New Roman" w:hAnsi="Times New Roman" w:cs="Times New Roman"/>
          <w:sz w:val="24"/>
          <w:szCs w:val="24"/>
        </w:rPr>
        <w:t>e</w:t>
      </w:r>
      <w:r w:rsidRPr="005456F7">
        <w:rPr>
          <w:rFonts w:ascii="Times New Roman" w:hAnsi="Times New Roman" w:cs="Times New Roman"/>
          <w:sz w:val="24"/>
          <w:szCs w:val="24"/>
        </w:rPr>
        <w:t xml:space="preserve"> table</w:t>
      </w:r>
      <w:r w:rsidR="005819C3">
        <w:rPr>
          <w:rFonts w:ascii="Times New Roman" w:hAnsi="Times New Roman" w:cs="Times New Roman"/>
          <w:sz w:val="24"/>
          <w:szCs w:val="24"/>
        </w:rPr>
        <w:t>au</w:t>
      </w:r>
      <w:r>
        <w:rPr>
          <w:rFonts w:ascii="Times New Roman" w:hAnsi="Times New Roman" w:cs="Times New Roman"/>
          <w:sz w:val="24"/>
          <w:szCs w:val="24"/>
        </w:rPr>
        <w:t xml:space="preserve"> 2 </w:t>
      </w:r>
      <w:r w:rsidRPr="005456F7">
        <w:rPr>
          <w:rFonts w:ascii="Times New Roman" w:hAnsi="Times New Roman" w:cs="Times New Roman"/>
          <w:sz w:val="24"/>
          <w:szCs w:val="24"/>
        </w:rPr>
        <w:t>ci-dessus permet de mettre en exergue, l’évolution des volumes des importations et des exportations </w:t>
      </w:r>
      <w:r>
        <w:rPr>
          <w:rFonts w:ascii="Times New Roman" w:hAnsi="Times New Roman" w:cs="Times New Roman"/>
          <w:sz w:val="24"/>
          <w:szCs w:val="24"/>
        </w:rPr>
        <w:t>béninoises :</w:t>
      </w:r>
      <w:r w:rsidRPr="005456F7">
        <w:rPr>
          <w:rFonts w:ascii="Times New Roman" w:hAnsi="Times New Roman" w:cs="Times New Roman"/>
          <w:sz w:val="24"/>
          <w:szCs w:val="24"/>
        </w:rPr>
        <w:t xml:space="preserve"> en moyenne, ils ont presque doublé entre les deux sous-périodes considérées, c’est-à-dire, avant et après la mise en œuvre des réformes</w:t>
      </w:r>
      <w:r>
        <w:rPr>
          <w:rFonts w:ascii="Times New Roman" w:hAnsi="Times New Roman" w:cs="Times New Roman"/>
          <w:sz w:val="24"/>
          <w:szCs w:val="24"/>
        </w:rPr>
        <w:t xml:space="preserve"> considérées</w:t>
      </w:r>
      <w:r w:rsidRPr="005456F7">
        <w:rPr>
          <w:rFonts w:ascii="Times New Roman" w:hAnsi="Times New Roman" w:cs="Times New Roman"/>
          <w:sz w:val="24"/>
          <w:szCs w:val="24"/>
        </w:rPr>
        <w:t>.</w:t>
      </w:r>
    </w:p>
    <w:tbl>
      <w:tblPr>
        <w:tblW w:w="9157" w:type="dxa"/>
        <w:tblInd w:w="55" w:type="dxa"/>
        <w:tblCellMar>
          <w:left w:w="70" w:type="dxa"/>
          <w:right w:w="70" w:type="dxa"/>
        </w:tblCellMar>
        <w:tblLook w:val="04A0" w:firstRow="1" w:lastRow="0" w:firstColumn="1" w:lastColumn="0" w:noHBand="0" w:noVBand="1"/>
      </w:tblPr>
      <w:tblGrid>
        <w:gridCol w:w="1718"/>
        <w:gridCol w:w="1006"/>
        <w:gridCol w:w="137"/>
        <w:gridCol w:w="1298"/>
        <w:gridCol w:w="1177"/>
        <w:gridCol w:w="299"/>
        <w:gridCol w:w="1050"/>
        <w:gridCol w:w="76"/>
        <w:gridCol w:w="1249"/>
        <w:gridCol w:w="85"/>
        <w:gridCol w:w="1062"/>
      </w:tblGrid>
      <w:tr w:rsidR="002B23C9" w:rsidRPr="005456F7" w:rsidTr="002B23C9">
        <w:trPr>
          <w:trHeight w:val="307"/>
        </w:trPr>
        <w:tc>
          <w:tcPr>
            <w:tcW w:w="9157" w:type="dxa"/>
            <w:gridSpan w:val="11"/>
            <w:tcBorders>
              <w:top w:val="nil"/>
              <w:left w:val="nil"/>
              <w:bottom w:val="nil"/>
              <w:right w:val="nil"/>
            </w:tcBorders>
            <w:shd w:val="clear" w:color="auto" w:fill="auto"/>
            <w:noWrap/>
            <w:vAlign w:val="bottom"/>
            <w:hideMark/>
          </w:tcPr>
          <w:p w:rsidR="002B23C9" w:rsidRPr="005456F7" w:rsidRDefault="002B23C9" w:rsidP="00F36A88">
            <w:pPr>
              <w:spacing w:after="0" w:line="240" w:lineRule="auto"/>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lastRenderedPageBreak/>
              <w:t>Table</w:t>
            </w:r>
            <w:r w:rsidR="005819C3">
              <w:rPr>
                <w:rFonts w:ascii="Times New Roman" w:eastAsia="Times New Roman" w:hAnsi="Times New Roman" w:cs="Times New Roman"/>
                <w:b/>
                <w:color w:val="000000"/>
              </w:rPr>
              <w:t>au</w:t>
            </w:r>
            <w:r w:rsidR="006B7B55">
              <w:rPr>
                <w:rFonts w:ascii="Times New Roman" w:eastAsia="Times New Roman" w:hAnsi="Times New Roman" w:cs="Times New Roman"/>
                <w:b/>
                <w:color w:val="000000"/>
              </w:rPr>
              <w:t xml:space="preserve"> </w:t>
            </w:r>
            <w:r w:rsidR="00F36A88">
              <w:rPr>
                <w:rFonts w:ascii="Times New Roman" w:eastAsia="Times New Roman" w:hAnsi="Times New Roman" w:cs="Times New Roman"/>
                <w:b/>
                <w:color w:val="000000"/>
              </w:rPr>
              <w:t>2</w:t>
            </w:r>
            <w:r w:rsidR="006B7B55">
              <w:rPr>
                <w:rFonts w:ascii="Times New Roman" w:eastAsia="Times New Roman" w:hAnsi="Times New Roman" w:cs="Times New Roman"/>
                <w:b/>
                <w:color w:val="000000"/>
              </w:rPr>
              <w:t> :</w:t>
            </w:r>
            <w:r w:rsidRPr="005456F7">
              <w:rPr>
                <w:rFonts w:ascii="Times New Roman" w:eastAsia="Times New Roman" w:hAnsi="Times New Roman" w:cs="Times New Roman"/>
                <w:b/>
                <w:color w:val="000000"/>
              </w:rPr>
              <w:t xml:space="preserve"> Evolution du trafic marchandises au PAC en tonnes métriques (2002-2012)</w:t>
            </w:r>
          </w:p>
        </w:tc>
      </w:tr>
      <w:tr w:rsidR="002B23C9" w:rsidRPr="005456F7" w:rsidTr="002B23C9">
        <w:trPr>
          <w:trHeight w:val="322"/>
        </w:trPr>
        <w:tc>
          <w:tcPr>
            <w:tcW w:w="1718"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p>
        </w:tc>
        <w:tc>
          <w:tcPr>
            <w:tcW w:w="1006"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p>
        </w:tc>
        <w:tc>
          <w:tcPr>
            <w:tcW w:w="1435" w:type="dxa"/>
            <w:gridSpan w:val="2"/>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p>
        </w:tc>
        <w:tc>
          <w:tcPr>
            <w:tcW w:w="1177"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p>
        </w:tc>
        <w:tc>
          <w:tcPr>
            <w:tcW w:w="299"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p>
        </w:tc>
        <w:tc>
          <w:tcPr>
            <w:tcW w:w="1050"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p>
        </w:tc>
        <w:tc>
          <w:tcPr>
            <w:tcW w:w="1325" w:type="dxa"/>
            <w:gridSpan w:val="2"/>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p>
        </w:tc>
        <w:tc>
          <w:tcPr>
            <w:tcW w:w="1147" w:type="dxa"/>
            <w:gridSpan w:val="2"/>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p>
        </w:tc>
      </w:tr>
      <w:tr w:rsidR="002B23C9" w:rsidRPr="005456F7" w:rsidTr="002B23C9">
        <w:trPr>
          <w:trHeight w:val="322"/>
        </w:trPr>
        <w:tc>
          <w:tcPr>
            <w:tcW w:w="1718" w:type="dxa"/>
            <w:vMerge w:val="restart"/>
            <w:tcBorders>
              <w:top w:val="double" w:sz="6" w:space="0" w:color="auto"/>
              <w:left w:val="nil"/>
              <w:bottom w:val="double" w:sz="6" w:space="0" w:color="000000"/>
              <w:right w:val="nil"/>
            </w:tcBorders>
            <w:shd w:val="clear" w:color="auto" w:fill="auto"/>
            <w:noWrap/>
            <w:vAlign w:val="center"/>
            <w:hideMark/>
          </w:tcPr>
          <w:p w:rsidR="002B23C9" w:rsidRPr="005456F7" w:rsidRDefault="002B23C9" w:rsidP="002B23C9">
            <w:pPr>
              <w:spacing w:after="0" w:line="240" w:lineRule="auto"/>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t>Composante</w:t>
            </w:r>
          </w:p>
        </w:tc>
        <w:tc>
          <w:tcPr>
            <w:tcW w:w="2441" w:type="dxa"/>
            <w:gridSpan w:val="3"/>
            <w:tcBorders>
              <w:top w:val="double" w:sz="6" w:space="0" w:color="auto"/>
              <w:left w:val="nil"/>
              <w:bottom w:val="single" w:sz="4" w:space="0" w:color="auto"/>
              <w:right w:val="nil"/>
            </w:tcBorders>
            <w:shd w:val="clear" w:color="auto" w:fill="auto"/>
            <w:noWrap/>
            <w:vAlign w:val="bottom"/>
            <w:hideMark/>
          </w:tcPr>
          <w:p w:rsidR="002B23C9" w:rsidRPr="005456F7" w:rsidRDefault="002B23C9" w:rsidP="002B23C9">
            <w:pPr>
              <w:spacing w:after="0" w:line="240" w:lineRule="auto"/>
              <w:jc w:val="center"/>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t>Période 2002-2006</w:t>
            </w:r>
          </w:p>
        </w:tc>
        <w:tc>
          <w:tcPr>
            <w:tcW w:w="1177" w:type="dxa"/>
            <w:tcBorders>
              <w:top w:val="double" w:sz="6" w:space="0" w:color="auto"/>
              <w:left w:val="nil"/>
              <w:bottom w:val="single" w:sz="4" w:space="0" w:color="auto"/>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t> </w:t>
            </w:r>
          </w:p>
        </w:tc>
        <w:tc>
          <w:tcPr>
            <w:tcW w:w="299" w:type="dxa"/>
            <w:tcBorders>
              <w:top w:val="double" w:sz="6" w:space="0" w:color="auto"/>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t> </w:t>
            </w:r>
          </w:p>
        </w:tc>
        <w:tc>
          <w:tcPr>
            <w:tcW w:w="3522" w:type="dxa"/>
            <w:gridSpan w:val="5"/>
            <w:tcBorders>
              <w:top w:val="double" w:sz="6" w:space="0" w:color="auto"/>
              <w:left w:val="nil"/>
              <w:bottom w:val="single" w:sz="4" w:space="0" w:color="auto"/>
              <w:right w:val="nil"/>
            </w:tcBorders>
            <w:shd w:val="clear" w:color="auto" w:fill="auto"/>
            <w:noWrap/>
            <w:vAlign w:val="bottom"/>
            <w:hideMark/>
          </w:tcPr>
          <w:p w:rsidR="002B23C9" w:rsidRPr="005456F7" w:rsidRDefault="002B23C9" w:rsidP="002B23C9">
            <w:pPr>
              <w:spacing w:after="0" w:line="240" w:lineRule="auto"/>
              <w:jc w:val="center"/>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t>Période 2007-2012</w:t>
            </w:r>
          </w:p>
        </w:tc>
      </w:tr>
      <w:tr w:rsidR="002B23C9" w:rsidRPr="005456F7" w:rsidTr="002B23C9">
        <w:trPr>
          <w:trHeight w:val="322"/>
        </w:trPr>
        <w:tc>
          <w:tcPr>
            <w:tcW w:w="1718" w:type="dxa"/>
            <w:vMerge/>
            <w:tcBorders>
              <w:top w:val="double" w:sz="6" w:space="0" w:color="auto"/>
              <w:left w:val="nil"/>
              <w:bottom w:val="double" w:sz="6" w:space="0" w:color="000000"/>
              <w:right w:val="nil"/>
            </w:tcBorders>
            <w:vAlign w:val="center"/>
            <w:hideMark/>
          </w:tcPr>
          <w:p w:rsidR="002B23C9" w:rsidRPr="005456F7" w:rsidRDefault="002B23C9" w:rsidP="002B23C9">
            <w:pPr>
              <w:spacing w:after="0" w:line="240" w:lineRule="auto"/>
              <w:rPr>
                <w:rFonts w:ascii="Times New Roman" w:eastAsia="Times New Roman" w:hAnsi="Times New Roman" w:cs="Times New Roman"/>
                <w:b/>
                <w:color w:val="000000"/>
              </w:rPr>
            </w:pPr>
          </w:p>
        </w:tc>
        <w:tc>
          <w:tcPr>
            <w:tcW w:w="1143" w:type="dxa"/>
            <w:gridSpan w:val="2"/>
            <w:tcBorders>
              <w:top w:val="nil"/>
              <w:left w:val="nil"/>
              <w:bottom w:val="double" w:sz="6" w:space="0" w:color="auto"/>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t>Volume Total</w:t>
            </w:r>
          </w:p>
        </w:tc>
        <w:tc>
          <w:tcPr>
            <w:tcW w:w="1298" w:type="dxa"/>
            <w:tcBorders>
              <w:top w:val="nil"/>
              <w:left w:val="nil"/>
              <w:bottom w:val="double" w:sz="6" w:space="0" w:color="auto"/>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t>Volume Moyen</w:t>
            </w:r>
          </w:p>
        </w:tc>
        <w:tc>
          <w:tcPr>
            <w:tcW w:w="1177" w:type="dxa"/>
            <w:tcBorders>
              <w:top w:val="nil"/>
              <w:left w:val="nil"/>
              <w:bottom w:val="double" w:sz="6" w:space="0" w:color="auto"/>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t>Taux variation</w:t>
            </w:r>
          </w:p>
        </w:tc>
        <w:tc>
          <w:tcPr>
            <w:tcW w:w="299" w:type="dxa"/>
            <w:tcBorders>
              <w:top w:val="nil"/>
              <w:left w:val="nil"/>
              <w:bottom w:val="double" w:sz="6" w:space="0" w:color="auto"/>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t> </w:t>
            </w:r>
          </w:p>
        </w:tc>
        <w:tc>
          <w:tcPr>
            <w:tcW w:w="1126" w:type="dxa"/>
            <w:gridSpan w:val="2"/>
            <w:tcBorders>
              <w:top w:val="nil"/>
              <w:left w:val="nil"/>
              <w:bottom w:val="double" w:sz="6" w:space="0" w:color="auto"/>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t>Volume Total</w:t>
            </w:r>
          </w:p>
        </w:tc>
        <w:tc>
          <w:tcPr>
            <w:tcW w:w="1334" w:type="dxa"/>
            <w:gridSpan w:val="2"/>
            <w:tcBorders>
              <w:top w:val="nil"/>
              <w:left w:val="nil"/>
              <w:bottom w:val="double" w:sz="6" w:space="0" w:color="auto"/>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t>Volume Moyen</w:t>
            </w:r>
          </w:p>
        </w:tc>
        <w:tc>
          <w:tcPr>
            <w:tcW w:w="1062" w:type="dxa"/>
            <w:tcBorders>
              <w:top w:val="nil"/>
              <w:left w:val="nil"/>
              <w:bottom w:val="double" w:sz="6" w:space="0" w:color="auto"/>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b/>
                <w:color w:val="000000"/>
              </w:rPr>
            </w:pPr>
            <w:r w:rsidRPr="005456F7">
              <w:rPr>
                <w:rFonts w:ascii="Times New Roman" w:eastAsia="Times New Roman" w:hAnsi="Times New Roman" w:cs="Times New Roman"/>
                <w:b/>
                <w:color w:val="000000"/>
              </w:rPr>
              <w:t>Taux variation</w:t>
            </w:r>
          </w:p>
        </w:tc>
      </w:tr>
      <w:tr w:rsidR="002B23C9" w:rsidRPr="005456F7" w:rsidTr="002B23C9">
        <w:trPr>
          <w:trHeight w:val="322"/>
        </w:trPr>
        <w:tc>
          <w:tcPr>
            <w:tcW w:w="1718"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r w:rsidRPr="005456F7">
              <w:rPr>
                <w:rFonts w:ascii="Times New Roman" w:eastAsia="Times New Roman" w:hAnsi="Times New Roman" w:cs="Times New Roman"/>
                <w:color w:val="000000"/>
              </w:rPr>
              <w:t>Importation</w:t>
            </w:r>
          </w:p>
        </w:tc>
        <w:tc>
          <w:tcPr>
            <w:tcW w:w="1143" w:type="dxa"/>
            <w:gridSpan w:val="2"/>
            <w:tcBorders>
              <w:top w:val="nil"/>
              <w:left w:val="nil"/>
              <w:bottom w:val="nil"/>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19748762</w:t>
            </w:r>
          </w:p>
        </w:tc>
        <w:tc>
          <w:tcPr>
            <w:tcW w:w="1298"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3949752,40</w:t>
            </w:r>
          </w:p>
        </w:tc>
        <w:tc>
          <w:tcPr>
            <w:tcW w:w="1177"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61,41%</w:t>
            </w:r>
          </w:p>
        </w:tc>
        <w:tc>
          <w:tcPr>
            <w:tcW w:w="299"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p>
        </w:tc>
        <w:tc>
          <w:tcPr>
            <w:tcW w:w="1126" w:type="dxa"/>
            <w:gridSpan w:val="2"/>
            <w:tcBorders>
              <w:top w:val="nil"/>
              <w:left w:val="nil"/>
              <w:bottom w:val="nil"/>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35901605</w:t>
            </w:r>
          </w:p>
        </w:tc>
        <w:tc>
          <w:tcPr>
            <w:tcW w:w="1334" w:type="dxa"/>
            <w:gridSpan w:val="2"/>
            <w:tcBorders>
              <w:top w:val="nil"/>
              <w:left w:val="nil"/>
              <w:bottom w:val="nil"/>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7180321,00</w:t>
            </w:r>
          </w:p>
        </w:tc>
        <w:tc>
          <w:tcPr>
            <w:tcW w:w="1062"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13,50%</w:t>
            </w:r>
          </w:p>
        </w:tc>
      </w:tr>
      <w:tr w:rsidR="002B23C9" w:rsidRPr="005456F7" w:rsidTr="002B23C9">
        <w:trPr>
          <w:trHeight w:val="307"/>
        </w:trPr>
        <w:tc>
          <w:tcPr>
            <w:tcW w:w="1718"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r w:rsidRPr="005456F7">
              <w:rPr>
                <w:rFonts w:ascii="Times New Roman" w:eastAsia="Times New Roman" w:hAnsi="Times New Roman" w:cs="Times New Roman"/>
                <w:color w:val="000000"/>
              </w:rPr>
              <w:t>Exportation</w:t>
            </w:r>
          </w:p>
        </w:tc>
        <w:tc>
          <w:tcPr>
            <w:tcW w:w="1143" w:type="dxa"/>
            <w:gridSpan w:val="2"/>
            <w:tcBorders>
              <w:top w:val="nil"/>
              <w:left w:val="nil"/>
              <w:bottom w:val="nil"/>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2490259</w:t>
            </w:r>
          </w:p>
        </w:tc>
        <w:tc>
          <w:tcPr>
            <w:tcW w:w="1298"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498051,80</w:t>
            </w:r>
          </w:p>
        </w:tc>
        <w:tc>
          <w:tcPr>
            <w:tcW w:w="1177"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11,28%</w:t>
            </w:r>
          </w:p>
        </w:tc>
        <w:tc>
          <w:tcPr>
            <w:tcW w:w="299"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p>
        </w:tc>
        <w:tc>
          <w:tcPr>
            <w:tcW w:w="1126" w:type="dxa"/>
            <w:gridSpan w:val="2"/>
            <w:tcBorders>
              <w:top w:val="nil"/>
              <w:left w:val="nil"/>
              <w:bottom w:val="nil"/>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5150862</w:t>
            </w:r>
          </w:p>
        </w:tc>
        <w:tc>
          <w:tcPr>
            <w:tcW w:w="1334" w:type="dxa"/>
            <w:gridSpan w:val="2"/>
            <w:tcBorders>
              <w:top w:val="nil"/>
              <w:left w:val="nil"/>
              <w:bottom w:val="nil"/>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1030172,40</w:t>
            </w:r>
          </w:p>
        </w:tc>
        <w:tc>
          <w:tcPr>
            <w:tcW w:w="1062" w:type="dxa"/>
            <w:tcBorders>
              <w:top w:val="nil"/>
              <w:left w:val="nil"/>
              <w:bottom w:val="nil"/>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86,56%</w:t>
            </w:r>
          </w:p>
        </w:tc>
      </w:tr>
      <w:tr w:rsidR="002B23C9" w:rsidRPr="005456F7" w:rsidTr="002B23C9">
        <w:trPr>
          <w:trHeight w:val="307"/>
        </w:trPr>
        <w:tc>
          <w:tcPr>
            <w:tcW w:w="1718" w:type="dxa"/>
            <w:tcBorders>
              <w:top w:val="nil"/>
              <w:left w:val="nil"/>
              <w:bottom w:val="single" w:sz="4" w:space="0" w:color="auto"/>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r w:rsidRPr="005456F7">
              <w:rPr>
                <w:rFonts w:ascii="Times New Roman" w:eastAsia="Times New Roman" w:hAnsi="Times New Roman" w:cs="Times New Roman"/>
                <w:color w:val="000000"/>
              </w:rPr>
              <w:t>Total général</w:t>
            </w:r>
          </w:p>
        </w:tc>
        <w:tc>
          <w:tcPr>
            <w:tcW w:w="1143" w:type="dxa"/>
            <w:gridSpan w:val="2"/>
            <w:tcBorders>
              <w:top w:val="nil"/>
              <w:left w:val="nil"/>
              <w:bottom w:val="single" w:sz="4" w:space="0" w:color="auto"/>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22240021</w:t>
            </w:r>
          </w:p>
        </w:tc>
        <w:tc>
          <w:tcPr>
            <w:tcW w:w="1298" w:type="dxa"/>
            <w:tcBorders>
              <w:top w:val="nil"/>
              <w:left w:val="nil"/>
              <w:bottom w:val="single" w:sz="4" w:space="0" w:color="auto"/>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4448004,20</w:t>
            </w:r>
          </w:p>
        </w:tc>
        <w:tc>
          <w:tcPr>
            <w:tcW w:w="1177" w:type="dxa"/>
            <w:tcBorders>
              <w:top w:val="nil"/>
              <w:left w:val="nil"/>
              <w:bottom w:val="single" w:sz="4" w:space="0" w:color="auto"/>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54,73%</w:t>
            </w:r>
          </w:p>
        </w:tc>
        <w:tc>
          <w:tcPr>
            <w:tcW w:w="299" w:type="dxa"/>
            <w:tcBorders>
              <w:top w:val="nil"/>
              <w:left w:val="nil"/>
              <w:bottom w:val="single" w:sz="4" w:space="0" w:color="auto"/>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r w:rsidRPr="005456F7">
              <w:rPr>
                <w:rFonts w:ascii="Times New Roman" w:eastAsia="Times New Roman" w:hAnsi="Times New Roman" w:cs="Times New Roman"/>
                <w:color w:val="000000"/>
              </w:rPr>
              <w:t> </w:t>
            </w:r>
          </w:p>
        </w:tc>
        <w:tc>
          <w:tcPr>
            <w:tcW w:w="1126" w:type="dxa"/>
            <w:gridSpan w:val="2"/>
            <w:tcBorders>
              <w:top w:val="nil"/>
              <w:left w:val="nil"/>
              <w:bottom w:val="single" w:sz="4" w:space="0" w:color="auto"/>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41052467</w:t>
            </w:r>
          </w:p>
        </w:tc>
        <w:tc>
          <w:tcPr>
            <w:tcW w:w="1334" w:type="dxa"/>
            <w:gridSpan w:val="2"/>
            <w:tcBorders>
              <w:top w:val="nil"/>
              <w:left w:val="nil"/>
              <w:bottom w:val="single" w:sz="4" w:space="0" w:color="auto"/>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8210493,40</w:t>
            </w:r>
          </w:p>
        </w:tc>
        <w:tc>
          <w:tcPr>
            <w:tcW w:w="1062" w:type="dxa"/>
            <w:tcBorders>
              <w:top w:val="nil"/>
              <w:left w:val="nil"/>
              <w:bottom w:val="single" w:sz="4" w:space="0" w:color="auto"/>
              <w:right w:val="nil"/>
            </w:tcBorders>
            <w:shd w:val="clear" w:color="auto" w:fill="auto"/>
            <w:noWrap/>
            <w:vAlign w:val="bottom"/>
            <w:hideMark/>
          </w:tcPr>
          <w:p w:rsidR="002B23C9" w:rsidRPr="005456F7" w:rsidRDefault="002B23C9" w:rsidP="002B23C9">
            <w:pPr>
              <w:spacing w:after="0" w:line="240" w:lineRule="auto"/>
              <w:jc w:val="right"/>
              <w:rPr>
                <w:rFonts w:ascii="Times New Roman" w:eastAsia="Times New Roman" w:hAnsi="Times New Roman" w:cs="Times New Roman"/>
                <w:color w:val="000000"/>
              </w:rPr>
            </w:pPr>
            <w:r w:rsidRPr="005456F7">
              <w:rPr>
                <w:rFonts w:ascii="Times New Roman" w:eastAsia="Times New Roman" w:hAnsi="Times New Roman" w:cs="Times New Roman"/>
                <w:color w:val="000000"/>
              </w:rPr>
              <w:t>20,92%</w:t>
            </w:r>
          </w:p>
        </w:tc>
      </w:tr>
      <w:tr w:rsidR="002B23C9" w:rsidRPr="005456F7" w:rsidTr="002B23C9">
        <w:trPr>
          <w:trHeight w:val="307"/>
        </w:trPr>
        <w:tc>
          <w:tcPr>
            <w:tcW w:w="9157" w:type="dxa"/>
            <w:gridSpan w:val="11"/>
            <w:tcBorders>
              <w:top w:val="nil"/>
              <w:left w:val="nil"/>
              <w:bottom w:val="nil"/>
              <w:right w:val="nil"/>
            </w:tcBorders>
            <w:shd w:val="clear" w:color="auto" w:fill="auto"/>
            <w:noWrap/>
            <w:vAlign w:val="bottom"/>
            <w:hideMark/>
          </w:tcPr>
          <w:p w:rsidR="002B23C9" w:rsidRPr="005456F7" w:rsidRDefault="002B23C9" w:rsidP="002B23C9">
            <w:pPr>
              <w:spacing w:after="0" w:line="240" w:lineRule="auto"/>
              <w:rPr>
                <w:rFonts w:ascii="Times New Roman" w:eastAsia="Times New Roman" w:hAnsi="Times New Roman" w:cs="Times New Roman"/>
                <w:color w:val="000000"/>
              </w:rPr>
            </w:pPr>
            <w:r w:rsidRPr="005456F7">
              <w:rPr>
                <w:rFonts w:ascii="Times New Roman" w:eastAsia="Times New Roman" w:hAnsi="Times New Roman" w:cs="Times New Roman"/>
                <w:color w:val="000000"/>
              </w:rPr>
              <w:t>Source: DCM/SESP</w:t>
            </w:r>
            <w:r w:rsidR="00D30974">
              <w:rPr>
                <w:rFonts w:ascii="Times New Roman" w:eastAsia="Times New Roman" w:hAnsi="Times New Roman" w:cs="Times New Roman"/>
                <w:color w:val="000000"/>
              </w:rPr>
              <w:t>.</w:t>
            </w:r>
          </w:p>
        </w:tc>
      </w:tr>
    </w:tbl>
    <w:p w:rsidR="003C79CE" w:rsidRDefault="003C79CE" w:rsidP="0017142E">
      <w:pPr>
        <w:spacing w:before="120" w:after="120"/>
        <w:jc w:val="both"/>
        <w:rPr>
          <w:rFonts w:ascii="Times New Roman" w:eastAsia="Times New Roman" w:hAnsi="Times New Roman" w:cs="Times New Roman"/>
          <w:sz w:val="24"/>
          <w:szCs w:val="24"/>
        </w:rPr>
      </w:pPr>
      <w:r w:rsidRPr="005456F7">
        <w:rPr>
          <w:rFonts w:ascii="Times New Roman" w:hAnsi="Times New Roman" w:cs="Times New Roman"/>
          <w:sz w:val="24"/>
          <w:szCs w:val="24"/>
        </w:rPr>
        <w:t>Il y a lieu de s’interroger si ces dynamiques sont imputables aux différentes réformes portuaires entreprises depuis 2006 et dans quelles proportions. Dans l</w:t>
      </w:r>
      <w:r>
        <w:rPr>
          <w:rFonts w:ascii="Times New Roman" w:hAnsi="Times New Roman" w:cs="Times New Roman"/>
          <w:sz w:val="24"/>
          <w:szCs w:val="24"/>
        </w:rPr>
        <w:t xml:space="preserve">a </w:t>
      </w:r>
      <w:r w:rsidRPr="005456F7">
        <w:rPr>
          <w:rFonts w:ascii="Times New Roman" w:hAnsi="Times New Roman" w:cs="Times New Roman"/>
          <w:sz w:val="24"/>
          <w:szCs w:val="24"/>
        </w:rPr>
        <w:t xml:space="preserve">même </w:t>
      </w:r>
      <w:r>
        <w:rPr>
          <w:rFonts w:ascii="Times New Roman" w:hAnsi="Times New Roman" w:cs="Times New Roman"/>
          <w:sz w:val="24"/>
          <w:szCs w:val="24"/>
        </w:rPr>
        <w:t>perspective</w:t>
      </w:r>
      <w:r w:rsidRPr="005456F7">
        <w:rPr>
          <w:rFonts w:ascii="Times New Roman" w:hAnsi="Times New Roman" w:cs="Times New Roman"/>
          <w:sz w:val="24"/>
          <w:szCs w:val="24"/>
        </w:rPr>
        <w:t xml:space="preserve">, il convient d’indiquer la performance enregistrée dans le classement </w:t>
      </w:r>
      <w:proofErr w:type="spellStart"/>
      <w:r w:rsidRPr="005456F7">
        <w:rPr>
          <w:rFonts w:ascii="Times New Roman" w:hAnsi="Times New Roman" w:cs="Times New Roman"/>
          <w:sz w:val="24"/>
          <w:szCs w:val="24"/>
        </w:rPr>
        <w:t>Doing</w:t>
      </w:r>
      <w:proofErr w:type="spellEnd"/>
      <w:r w:rsidRPr="005456F7">
        <w:rPr>
          <w:rFonts w:ascii="Times New Roman" w:hAnsi="Times New Roman" w:cs="Times New Roman"/>
          <w:sz w:val="24"/>
          <w:szCs w:val="24"/>
        </w:rPr>
        <w:t xml:space="preserve"> Business 2015, le Bénin étant passé du rang 167 en 2014 à 151.</w:t>
      </w:r>
      <w:r>
        <w:rPr>
          <w:rFonts w:ascii="Times New Roman" w:hAnsi="Times New Roman" w:cs="Times New Roman"/>
          <w:sz w:val="24"/>
          <w:szCs w:val="24"/>
        </w:rPr>
        <w:t xml:space="preserve"> Existe-t-il une relation de causalité entre les différentes réformes entreprises depuis 2006 avec notamment l’appui financier du MCA analysé sous l’angle d’une aide pour le commerce au Bénin ? </w:t>
      </w:r>
      <w:r w:rsidR="000C7855" w:rsidRPr="005456F7">
        <w:rPr>
          <w:rFonts w:ascii="Times New Roman" w:hAnsi="Times New Roman" w:cs="Times New Roman"/>
          <w:sz w:val="24"/>
          <w:szCs w:val="24"/>
        </w:rPr>
        <w:t>Outre l’effet sur les échanges qui reste à tester, c</w:t>
      </w:r>
      <w:r w:rsidR="0017142E" w:rsidRPr="005456F7">
        <w:rPr>
          <w:rFonts w:ascii="Times New Roman" w:hAnsi="Times New Roman" w:cs="Times New Roman"/>
          <w:sz w:val="24"/>
          <w:szCs w:val="24"/>
        </w:rPr>
        <w:t xml:space="preserve">es </w:t>
      </w:r>
      <w:r w:rsidR="000C7855" w:rsidRPr="005456F7">
        <w:rPr>
          <w:rFonts w:ascii="Times New Roman" w:hAnsi="Times New Roman" w:cs="Times New Roman"/>
          <w:sz w:val="24"/>
          <w:szCs w:val="24"/>
        </w:rPr>
        <w:t xml:space="preserve">différentes </w:t>
      </w:r>
      <w:r w:rsidR="0017142E" w:rsidRPr="005456F7">
        <w:rPr>
          <w:rFonts w:ascii="Times New Roman" w:hAnsi="Times New Roman" w:cs="Times New Roman"/>
          <w:sz w:val="24"/>
          <w:szCs w:val="24"/>
        </w:rPr>
        <w:t xml:space="preserve">réformes </w:t>
      </w:r>
      <w:r w:rsidR="000C7855" w:rsidRPr="005456F7">
        <w:rPr>
          <w:rFonts w:ascii="Times New Roman" w:hAnsi="Times New Roman" w:cs="Times New Roman"/>
          <w:sz w:val="24"/>
          <w:szCs w:val="24"/>
        </w:rPr>
        <w:t xml:space="preserve">financées par l’aide américaine </w:t>
      </w:r>
      <w:proofErr w:type="spellStart"/>
      <w:r w:rsidR="0017142E" w:rsidRPr="005456F7">
        <w:rPr>
          <w:rFonts w:ascii="Times New Roman" w:hAnsi="Times New Roman" w:cs="Times New Roman"/>
          <w:sz w:val="24"/>
          <w:szCs w:val="24"/>
        </w:rPr>
        <w:t>ont-elles</w:t>
      </w:r>
      <w:proofErr w:type="spellEnd"/>
      <w:r w:rsidR="0017142E" w:rsidRPr="005456F7">
        <w:rPr>
          <w:rFonts w:ascii="Times New Roman" w:hAnsi="Times New Roman" w:cs="Times New Roman"/>
          <w:sz w:val="24"/>
          <w:szCs w:val="24"/>
        </w:rPr>
        <w:t xml:space="preserve"> induit des effets réels et significatifs sur l’économie béninoise en termes d’emplois, de gain de productivité et d’accroissement du revenu national ? </w:t>
      </w:r>
      <w:r w:rsidR="00B253AE">
        <w:rPr>
          <w:rFonts w:ascii="Times New Roman" w:hAnsi="Times New Roman" w:cs="Times New Roman"/>
          <w:sz w:val="24"/>
          <w:szCs w:val="24"/>
        </w:rPr>
        <w:t>Au-delà, c</w:t>
      </w:r>
      <w:r w:rsidR="00B253AE">
        <w:rPr>
          <w:rFonts w:ascii="Times New Roman" w:eastAsia="Times New Roman" w:hAnsi="Times New Roman" w:cs="Times New Roman"/>
          <w:sz w:val="24"/>
          <w:szCs w:val="24"/>
        </w:rPr>
        <w:t>es réformes et c</w:t>
      </w:r>
      <w:r w:rsidR="000C7855" w:rsidRPr="005456F7">
        <w:rPr>
          <w:rFonts w:ascii="Times New Roman" w:eastAsia="Times New Roman" w:hAnsi="Times New Roman" w:cs="Times New Roman"/>
          <w:sz w:val="24"/>
          <w:szCs w:val="24"/>
        </w:rPr>
        <w:t xml:space="preserve">es performances </w:t>
      </w:r>
      <w:r w:rsidR="00B253AE">
        <w:rPr>
          <w:rFonts w:ascii="Times New Roman" w:eastAsia="Times New Roman" w:hAnsi="Times New Roman" w:cs="Times New Roman"/>
          <w:sz w:val="24"/>
          <w:szCs w:val="24"/>
        </w:rPr>
        <w:t xml:space="preserve">enregistrées dans les échanges et </w:t>
      </w:r>
      <w:r w:rsidR="000C7855" w:rsidRPr="005456F7">
        <w:rPr>
          <w:rFonts w:ascii="Times New Roman" w:eastAsia="Times New Roman" w:hAnsi="Times New Roman" w:cs="Times New Roman"/>
          <w:sz w:val="24"/>
          <w:szCs w:val="24"/>
        </w:rPr>
        <w:t xml:space="preserve">résultant des politiques de facilitation du commerce </w:t>
      </w:r>
      <w:proofErr w:type="spellStart"/>
      <w:r w:rsidR="000C7855" w:rsidRPr="005456F7">
        <w:rPr>
          <w:rFonts w:ascii="Times New Roman" w:eastAsia="Times New Roman" w:hAnsi="Times New Roman" w:cs="Times New Roman"/>
          <w:sz w:val="24"/>
          <w:szCs w:val="24"/>
        </w:rPr>
        <w:t>ont-elles</w:t>
      </w:r>
      <w:proofErr w:type="spellEnd"/>
      <w:r w:rsidR="000C7855" w:rsidRPr="005456F7">
        <w:rPr>
          <w:rFonts w:ascii="Times New Roman" w:eastAsia="Times New Roman" w:hAnsi="Times New Roman" w:cs="Times New Roman"/>
          <w:sz w:val="24"/>
          <w:szCs w:val="24"/>
        </w:rPr>
        <w:t xml:space="preserve"> induit des effets réels en termes d</w:t>
      </w:r>
      <w:r w:rsidR="00B253AE">
        <w:rPr>
          <w:rFonts w:ascii="Times New Roman" w:eastAsia="Times New Roman" w:hAnsi="Times New Roman" w:cs="Times New Roman"/>
          <w:sz w:val="24"/>
          <w:szCs w:val="24"/>
        </w:rPr>
        <w:t>e réduction des coûts de transaction et du temps de traitement des opérations portuaires</w:t>
      </w:r>
      <w:r w:rsidR="000C7855" w:rsidRPr="005456F7">
        <w:rPr>
          <w:rFonts w:ascii="Times New Roman" w:eastAsia="Times New Roman" w:hAnsi="Times New Roman" w:cs="Times New Roman"/>
          <w:sz w:val="24"/>
          <w:szCs w:val="24"/>
        </w:rPr>
        <w:t xml:space="preserve">? </w:t>
      </w:r>
    </w:p>
    <w:p w:rsidR="0017142E" w:rsidRDefault="000C7855" w:rsidP="0017142E">
      <w:pPr>
        <w:spacing w:before="120" w:after="120"/>
        <w:jc w:val="both"/>
        <w:rPr>
          <w:rFonts w:ascii="Times New Roman" w:hAnsi="Times New Roman" w:cs="Times New Roman"/>
          <w:sz w:val="24"/>
          <w:szCs w:val="24"/>
        </w:rPr>
      </w:pPr>
      <w:r w:rsidRPr="005819C3">
        <w:rPr>
          <w:rFonts w:ascii="Times New Roman" w:eastAsia="Times New Roman" w:hAnsi="Times New Roman" w:cs="Times New Roman"/>
          <w:sz w:val="24"/>
          <w:szCs w:val="24"/>
        </w:rPr>
        <w:t xml:space="preserve">Si la croissance économique reste </w:t>
      </w:r>
      <w:r w:rsidR="00B253AE" w:rsidRPr="005819C3">
        <w:rPr>
          <w:rFonts w:ascii="Times New Roman" w:eastAsia="Times New Roman" w:hAnsi="Times New Roman" w:cs="Times New Roman"/>
          <w:sz w:val="24"/>
          <w:szCs w:val="24"/>
        </w:rPr>
        <w:t>atone</w:t>
      </w:r>
      <w:r w:rsidRPr="005819C3">
        <w:rPr>
          <w:rFonts w:ascii="Times New Roman" w:eastAsia="Times New Roman" w:hAnsi="Times New Roman" w:cs="Times New Roman"/>
          <w:sz w:val="24"/>
          <w:szCs w:val="24"/>
        </w:rPr>
        <w:t xml:space="preserve"> au Bénin a</w:t>
      </w:r>
      <w:r w:rsidR="00B253AE" w:rsidRPr="005819C3">
        <w:rPr>
          <w:rFonts w:ascii="Times New Roman" w:eastAsia="Times New Roman" w:hAnsi="Times New Roman" w:cs="Times New Roman"/>
          <w:sz w:val="24"/>
          <w:szCs w:val="24"/>
        </w:rPr>
        <w:t xml:space="preserve">vec </w:t>
      </w:r>
      <w:r w:rsidR="005819C3">
        <w:rPr>
          <w:rFonts w:ascii="Times New Roman" w:eastAsia="Times New Roman" w:hAnsi="Times New Roman" w:cs="Times New Roman"/>
          <w:sz w:val="24"/>
          <w:szCs w:val="24"/>
        </w:rPr>
        <w:t>4</w:t>
      </w:r>
      <w:r w:rsidRPr="005819C3">
        <w:rPr>
          <w:rFonts w:ascii="Times New Roman" w:eastAsia="Times New Roman" w:hAnsi="Times New Roman" w:cs="Times New Roman"/>
          <w:sz w:val="24"/>
          <w:szCs w:val="24"/>
        </w:rPr>
        <w:t xml:space="preserve">% </w:t>
      </w:r>
      <w:r w:rsidR="00B253AE" w:rsidRPr="005819C3">
        <w:rPr>
          <w:rFonts w:ascii="Times New Roman" w:eastAsia="Times New Roman" w:hAnsi="Times New Roman" w:cs="Times New Roman"/>
          <w:sz w:val="24"/>
          <w:szCs w:val="24"/>
        </w:rPr>
        <w:t xml:space="preserve">en moyenne </w:t>
      </w:r>
      <w:r w:rsidRPr="005819C3">
        <w:rPr>
          <w:rFonts w:ascii="Times New Roman" w:eastAsia="Times New Roman" w:hAnsi="Times New Roman" w:cs="Times New Roman"/>
          <w:sz w:val="24"/>
          <w:szCs w:val="24"/>
        </w:rPr>
        <w:t>depuis une décennie</w:t>
      </w:r>
      <w:r w:rsidR="00D30974" w:rsidRPr="005819C3">
        <w:rPr>
          <w:rFonts w:ascii="Times New Roman" w:eastAsia="Times New Roman" w:hAnsi="Times New Roman" w:cs="Times New Roman"/>
          <w:sz w:val="24"/>
          <w:szCs w:val="24"/>
        </w:rPr>
        <w:t xml:space="preserve"> (</w:t>
      </w:r>
      <w:r w:rsidR="005819C3">
        <w:rPr>
          <w:rFonts w:ascii="Times New Roman" w:eastAsia="Times New Roman" w:hAnsi="Times New Roman" w:cs="Times New Roman"/>
          <w:sz w:val="24"/>
          <w:szCs w:val="24"/>
        </w:rPr>
        <w:t>MCA Bénin, 2012</w:t>
      </w:r>
      <w:r w:rsidR="00D30974" w:rsidRPr="005819C3">
        <w:rPr>
          <w:rFonts w:ascii="Times New Roman" w:eastAsia="Times New Roman" w:hAnsi="Times New Roman" w:cs="Times New Roman"/>
          <w:sz w:val="24"/>
          <w:szCs w:val="24"/>
        </w:rPr>
        <w:t>)</w:t>
      </w:r>
      <w:r w:rsidRPr="005819C3">
        <w:rPr>
          <w:rFonts w:ascii="Times New Roman" w:eastAsia="Times New Roman" w:hAnsi="Times New Roman" w:cs="Times New Roman"/>
          <w:sz w:val="24"/>
          <w:szCs w:val="24"/>
        </w:rPr>
        <w:t xml:space="preserve">, il y a lieu d’apprécier son lien avec les politiques de facilitation du commerce afin de dégager le potentiel réel des réformes </w:t>
      </w:r>
      <w:r w:rsidR="00B253AE" w:rsidRPr="005819C3">
        <w:rPr>
          <w:rFonts w:ascii="Times New Roman" w:eastAsia="Times New Roman" w:hAnsi="Times New Roman" w:cs="Times New Roman"/>
          <w:sz w:val="24"/>
          <w:szCs w:val="24"/>
        </w:rPr>
        <w:t>entreprises</w:t>
      </w:r>
      <w:r w:rsidRPr="005819C3">
        <w:rPr>
          <w:rFonts w:ascii="Times New Roman" w:eastAsia="Times New Roman" w:hAnsi="Times New Roman" w:cs="Times New Roman"/>
          <w:sz w:val="24"/>
          <w:szCs w:val="24"/>
        </w:rPr>
        <w:t xml:space="preserve">. </w:t>
      </w:r>
      <w:r w:rsidR="001E67C5" w:rsidRPr="005819C3">
        <w:rPr>
          <w:rFonts w:ascii="Times New Roman" w:eastAsia="Times New Roman" w:hAnsi="Times New Roman" w:cs="Times New Roman"/>
          <w:sz w:val="24"/>
          <w:szCs w:val="24"/>
        </w:rPr>
        <w:t>D’après </w:t>
      </w:r>
      <w:r w:rsidR="006B7B55" w:rsidRPr="005819C3">
        <w:rPr>
          <w:rFonts w:ascii="Times New Roman" w:eastAsia="Times New Roman" w:hAnsi="Times New Roman" w:cs="Times New Roman"/>
          <w:sz w:val="24"/>
          <w:szCs w:val="24"/>
        </w:rPr>
        <w:t xml:space="preserve">Higgins et </w:t>
      </w:r>
      <w:proofErr w:type="spellStart"/>
      <w:r w:rsidR="006B7B55" w:rsidRPr="005819C3">
        <w:rPr>
          <w:rFonts w:ascii="Times New Roman" w:eastAsia="Times New Roman" w:hAnsi="Times New Roman" w:cs="Times New Roman"/>
          <w:sz w:val="24"/>
          <w:szCs w:val="24"/>
        </w:rPr>
        <w:t>Prowse</w:t>
      </w:r>
      <w:proofErr w:type="spellEnd"/>
      <w:r w:rsidR="006B7B55" w:rsidRPr="005819C3">
        <w:rPr>
          <w:rFonts w:ascii="Times New Roman" w:eastAsia="Times New Roman" w:hAnsi="Times New Roman" w:cs="Times New Roman"/>
          <w:sz w:val="24"/>
          <w:szCs w:val="24"/>
        </w:rPr>
        <w:t xml:space="preserve"> (2010)</w:t>
      </w:r>
      <w:r w:rsidR="001E67C5" w:rsidRPr="005819C3">
        <w:rPr>
          <w:rFonts w:ascii="Times New Roman" w:eastAsia="Times New Roman" w:hAnsi="Times New Roman" w:cs="Times New Roman"/>
          <w:sz w:val="24"/>
          <w:szCs w:val="24"/>
        </w:rPr>
        <w:t>, l’aide pour le commerce dont l</w:t>
      </w:r>
      <w:r w:rsidR="00C0057A" w:rsidRPr="005819C3">
        <w:rPr>
          <w:rFonts w:ascii="Times New Roman" w:eastAsia="Times New Roman" w:hAnsi="Times New Roman" w:cs="Times New Roman"/>
          <w:sz w:val="24"/>
          <w:szCs w:val="24"/>
        </w:rPr>
        <w:t xml:space="preserve">es enjeux ont émergé à partir de 2005, </w:t>
      </w:r>
      <w:r w:rsidR="001E67C5" w:rsidRPr="005819C3">
        <w:rPr>
          <w:rFonts w:ascii="Times New Roman" w:eastAsia="Times New Roman" w:hAnsi="Times New Roman" w:cs="Times New Roman"/>
          <w:sz w:val="24"/>
          <w:szCs w:val="24"/>
        </w:rPr>
        <w:t>doit s’inscrire dans les politiques générales de développement</w:t>
      </w:r>
      <w:r w:rsidR="00C0057A" w:rsidRPr="005819C3">
        <w:rPr>
          <w:rFonts w:ascii="Times New Roman" w:eastAsia="Times New Roman" w:hAnsi="Times New Roman" w:cs="Times New Roman"/>
          <w:sz w:val="24"/>
          <w:szCs w:val="24"/>
        </w:rPr>
        <w:t> : elle est devenue plus importante dans les pays en développement notamment</w:t>
      </w:r>
      <w:r w:rsidR="00E91B35" w:rsidRPr="005819C3">
        <w:rPr>
          <w:rFonts w:ascii="Times New Roman" w:eastAsia="Times New Roman" w:hAnsi="Times New Roman" w:cs="Times New Roman"/>
          <w:sz w:val="24"/>
          <w:szCs w:val="24"/>
        </w:rPr>
        <w:t xml:space="preserve"> avec des implications en termes d’amélioration des avantages comparatifs et compétitifs. Dès lors, </w:t>
      </w:r>
      <w:r w:rsidR="00A92E36" w:rsidRPr="005819C3">
        <w:rPr>
          <w:rFonts w:ascii="Times New Roman" w:eastAsia="Times New Roman" w:hAnsi="Times New Roman" w:cs="Times New Roman"/>
          <w:sz w:val="24"/>
          <w:szCs w:val="24"/>
        </w:rPr>
        <w:t xml:space="preserve">au-delà des effets directs de réduction des délais et des coûts, </w:t>
      </w:r>
      <w:r w:rsidR="00E91B35" w:rsidRPr="005819C3">
        <w:rPr>
          <w:rFonts w:ascii="Times New Roman" w:eastAsia="Times New Roman" w:hAnsi="Times New Roman" w:cs="Times New Roman"/>
          <w:sz w:val="24"/>
          <w:szCs w:val="24"/>
        </w:rPr>
        <w:t xml:space="preserve">il peut exister un lien </w:t>
      </w:r>
      <w:r w:rsidR="00701350" w:rsidRPr="005819C3">
        <w:rPr>
          <w:rFonts w:ascii="Times New Roman" w:eastAsia="Times New Roman" w:hAnsi="Times New Roman" w:cs="Times New Roman"/>
          <w:sz w:val="24"/>
          <w:szCs w:val="24"/>
        </w:rPr>
        <w:t>entre le commerce, la croissance et la réduction de la pauvreté, l’ouverture commerciale étant déterminante</w:t>
      </w:r>
      <w:r w:rsidR="006B7B55" w:rsidRPr="005819C3">
        <w:rPr>
          <w:rFonts w:ascii="Times New Roman" w:eastAsia="Times New Roman" w:hAnsi="Times New Roman" w:cs="Times New Roman"/>
          <w:sz w:val="24"/>
          <w:szCs w:val="24"/>
        </w:rPr>
        <w:t xml:space="preserve"> dans ce processus</w:t>
      </w:r>
      <w:r w:rsidR="00701350" w:rsidRPr="005819C3">
        <w:rPr>
          <w:rFonts w:ascii="Times New Roman" w:eastAsia="Times New Roman" w:hAnsi="Times New Roman" w:cs="Times New Roman"/>
          <w:sz w:val="24"/>
          <w:szCs w:val="24"/>
        </w:rPr>
        <w:t>.</w:t>
      </w:r>
      <w:r w:rsidR="00E91B35" w:rsidRPr="005819C3">
        <w:rPr>
          <w:rFonts w:ascii="Times New Roman" w:eastAsia="Times New Roman" w:hAnsi="Times New Roman" w:cs="Times New Roman"/>
          <w:sz w:val="24"/>
          <w:szCs w:val="24"/>
        </w:rPr>
        <w:t xml:space="preserve"> </w:t>
      </w:r>
      <w:r w:rsidR="006B7B55" w:rsidRPr="005819C3">
        <w:rPr>
          <w:rFonts w:ascii="Times New Roman" w:eastAsia="Times New Roman" w:hAnsi="Times New Roman" w:cs="Times New Roman"/>
          <w:sz w:val="24"/>
          <w:szCs w:val="24"/>
        </w:rPr>
        <w:t>C’est pourquoi, d</w:t>
      </w:r>
      <w:r w:rsidR="0017142E" w:rsidRPr="005819C3">
        <w:rPr>
          <w:rFonts w:ascii="Times New Roman" w:hAnsi="Times New Roman" w:cs="Times New Roman"/>
          <w:sz w:val="24"/>
          <w:szCs w:val="24"/>
        </w:rPr>
        <w:t xml:space="preserve">ans une perspective de réduction de la pauvreté et de développement des capacités par les échanges, cette </w:t>
      </w:r>
      <w:r w:rsidR="00701350" w:rsidRPr="005819C3">
        <w:rPr>
          <w:rFonts w:ascii="Times New Roman" w:hAnsi="Times New Roman" w:cs="Times New Roman"/>
          <w:sz w:val="24"/>
          <w:szCs w:val="24"/>
        </w:rPr>
        <w:t xml:space="preserve">étude </w:t>
      </w:r>
      <w:r w:rsidR="0017142E" w:rsidRPr="005819C3">
        <w:rPr>
          <w:rFonts w:ascii="Times New Roman" w:hAnsi="Times New Roman" w:cs="Times New Roman"/>
          <w:sz w:val="24"/>
          <w:szCs w:val="24"/>
        </w:rPr>
        <w:t>doit permettre d</w:t>
      </w:r>
      <w:r w:rsidR="00AE74AA" w:rsidRPr="005819C3">
        <w:rPr>
          <w:rFonts w:ascii="Times New Roman" w:hAnsi="Times New Roman" w:cs="Times New Roman"/>
          <w:sz w:val="24"/>
          <w:szCs w:val="24"/>
        </w:rPr>
        <w:t>’adresser</w:t>
      </w:r>
      <w:r w:rsidR="0017142E" w:rsidRPr="005819C3">
        <w:rPr>
          <w:rFonts w:ascii="Times New Roman" w:hAnsi="Times New Roman" w:cs="Times New Roman"/>
          <w:sz w:val="24"/>
          <w:szCs w:val="24"/>
        </w:rPr>
        <w:t xml:space="preserve"> la portée des réformes facilitatrices d</w:t>
      </w:r>
      <w:r w:rsidR="00701350" w:rsidRPr="005819C3">
        <w:rPr>
          <w:rFonts w:ascii="Times New Roman" w:hAnsi="Times New Roman" w:cs="Times New Roman"/>
          <w:sz w:val="24"/>
          <w:szCs w:val="24"/>
        </w:rPr>
        <w:t xml:space="preserve">es échanges </w:t>
      </w:r>
      <w:r w:rsidR="0017142E" w:rsidRPr="005819C3">
        <w:rPr>
          <w:rFonts w:ascii="Times New Roman" w:hAnsi="Times New Roman" w:cs="Times New Roman"/>
          <w:sz w:val="24"/>
          <w:szCs w:val="24"/>
        </w:rPr>
        <w:t>au Bénin</w:t>
      </w:r>
      <w:r w:rsidR="00701350" w:rsidRPr="005819C3">
        <w:rPr>
          <w:rFonts w:ascii="Times New Roman" w:hAnsi="Times New Roman" w:cs="Times New Roman"/>
          <w:sz w:val="24"/>
          <w:szCs w:val="24"/>
        </w:rPr>
        <w:t xml:space="preserve"> en termes de productivité mais aussi de croissance inclusive.</w:t>
      </w:r>
      <w:r w:rsidR="0017142E" w:rsidRPr="005819C3">
        <w:rPr>
          <w:rFonts w:ascii="Times New Roman" w:hAnsi="Times New Roman" w:cs="Times New Roman"/>
          <w:sz w:val="24"/>
          <w:szCs w:val="24"/>
        </w:rPr>
        <w:t xml:space="preserve"> </w:t>
      </w:r>
      <w:r w:rsidR="00A92E36" w:rsidRPr="005819C3">
        <w:rPr>
          <w:rFonts w:ascii="Times New Roman" w:hAnsi="Times New Roman" w:cs="Times New Roman"/>
          <w:sz w:val="24"/>
          <w:szCs w:val="24"/>
        </w:rPr>
        <w:t>Plus précisément, é</w:t>
      </w:r>
      <w:r w:rsidR="00701350" w:rsidRPr="005819C3">
        <w:rPr>
          <w:rFonts w:ascii="Times New Roman" w:hAnsi="Times New Roman" w:cs="Times New Roman"/>
          <w:sz w:val="24"/>
          <w:szCs w:val="24"/>
        </w:rPr>
        <w:t>tant donné la subvention américaine considérée comme de l’aide au commerce, quels liens directs et indirects s’établissent entre les réformes induites d’une part puis la croissance</w:t>
      </w:r>
      <w:r w:rsidR="004C74F5" w:rsidRPr="005819C3">
        <w:rPr>
          <w:rFonts w:ascii="Times New Roman" w:hAnsi="Times New Roman" w:cs="Times New Roman"/>
          <w:sz w:val="24"/>
          <w:szCs w:val="24"/>
        </w:rPr>
        <w:t xml:space="preserve"> et la réduction de la pauvreté d’autre part ?</w:t>
      </w:r>
      <w:r w:rsidR="00667E0B" w:rsidRPr="005819C3">
        <w:rPr>
          <w:rFonts w:ascii="Times New Roman" w:hAnsi="Times New Roman" w:cs="Times New Roman"/>
          <w:sz w:val="24"/>
          <w:szCs w:val="24"/>
        </w:rPr>
        <w:t xml:space="preserve"> Ces différents résultats devraient constituer un puissant atout pouvant justifier les investissements à engager dans le cadre du deuxième compact du MCA en cours de négociation.</w:t>
      </w:r>
      <w:r w:rsidR="00667E0B">
        <w:rPr>
          <w:rFonts w:ascii="Times New Roman" w:hAnsi="Times New Roman" w:cs="Times New Roman"/>
          <w:sz w:val="24"/>
          <w:szCs w:val="24"/>
        </w:rPr>
        <w:t xml:space="preserve"> </w:t>
      </w:r>
    </w:p>
    <w:p w:rsidR="00D30974" w:rsidRDefault="00D30974" w:rsidP="0017142E">
      <w:pPr>
        <w:spacing w:before="120" w:after="120"/>
        <w:jc w:val="both"/>
        <w:rPr>
          <w:rFonts w:ascii="Times New Roman" w:hAnsi="Times New Roman" w:cs="Times New Roman"/>
          <w:sz w:val="24"/>
          <w:szCs w:val="24"/>
        </w:rPr>
      </w:pPr>
    </w:p>
    <w:p w:rsidR="00AC11B4" w:rsidRPr="00667E0B" w:rsidRDefault="00667E0B" w:rsidP="00667E0B">
      <w:pPr>
        <w:pStyle w:val="Paragraphedeliste"/>
        <w:numPr>
          <w:ilvl w:val="0"/>
          <w:numId w:val="8"/>
        </w:numPr>
        <w:spacing w:before="120" w:after="120"/>
        <w:jc w:val="both"/>
        <w:rPr>
          <w:rFonts w:ascii="Times New Roman" w:hAnsi="Times New Roman" w:cs="Times New Roman"/>
          <w:b/>
          <w:sz w:val="24"/>
          <w:szCs w:val="24"/>
        </w:rPr>
      </w:pPr>
      <w:r w:rsidRPr="00667E0B">
        <w:rPr>
          <w:rFonts w:ascii="Times New Roman" w:hAnsi="Times New Roman" w:cs="Times New Roman"/>
          <w:b/>
          <w:sz w:val="24"/>
          <w:szCs w:val="24"/>
        </w:rPr>
        <w:t>Revue de littérature</w:t>
      </w:r>
    </w:p>
    <w:p w:rsidR="00377708" w:rsidRPr="00377708" w:rsidRDefault="00781D2C" w:rsidP="00377708">
      <w:pPr>
        <w:pStyle w:val="Pa11"/>
        <w:spacing w:before="120" w:after="120" w:line="276" w:lineRule="auto"/>
        <w:jc w:val="both"/>
        <w:rPr>
          <w:rFonts w:ascii="Times New Roman" w:hAnsi="Times New Roman" w:cs="Times New Roman"/>
          <w:color w:val="000000"/>
          <w:sz w:val="28"/>
        </w:rPr>
      </w:pPr>
      <w:r>
        <w:rPr>
          <w:rFonts w:ascii="Times New Roman" w:hAnsi="Times New Roman" w:cs="Times New Roman"/>
          <w:color w:val="000000"/>
        </w:rPr>
        <w:t>L</w:t>
      </w:r>
      <w:r w:rsidRPr="00781D2C">
        <w:rPr>
          <w:rFonts w:ascii="Times New Roman" w:hAnsi="Times New Roman" w:cs="Times New Roman"/>
          <w:color w:val="000000"/>
        </w:rPr>
        <w:t xml:space="preserve">’inefficacité des procédures aux frontières, en raison d’un manque de personnel ou d’une paperasserie inutilement lourde, est coûteuse pour les administrations comme pour les </w:t>
      </w:r>
      <w:r w:rsidRPr="00781D2C">
        <w:rPr>
          <w:rFonts w:ascii="Times New Roman" w:hAnsi="Times New Roman" w:cs="Times New Roman"/>
          <w:color w:val="000000"/>
        </w:rPr>
        <w:lastRenderedPageBreak/>
        <w:t xml:space="preserve">entreprises et c’est en définitive le contribuable ou le client qui supporte ces coûts. Pour les </w:t>
      </w:r>
      <w:r w:rsidRPr="00781D2C">
        <w:rPr>
          <w:rFonts w:ascii="Times New Roman" w:hAnsi="Times New Roman" w:cs="Times New Roman"/>
          <w:bCs/>
          <w:color w:val="000000"/>
        </w:rPr>
        <w:t>entreprises, il peut exister a</w:t>
      </w:r>
      <w:r w:rsidRPr="00781D2C">
        <w:rPr>
          <w:rFonts w:ascii="Times New Roman" w:hAnsi="Times New Roman" w:cs="Times New Roman"/>
          <w:color w:val="000000"/>
        </w:rPr>
        <w:t xml:space="preserve">ux frontières des coûts directs, liés à la transmission d’informations et de documents mais aussi des coûts indirects liés aux retards bureaucratiques, à la perte d’opportunités commerciales et à l’imprévisibilité des réglementations. Les enquêtes réalisées pour déterminer ces coûts indiquent qu’ils peuvent représenter entre 2 % et 15 % de la valeur des biens échangés (Dollar, 2004 ; Sanchez et al. 2003). De même, les procédures inefficaces aux frontières ont un coût pour les </w:t>
      </w:r>
      <w:r w:rsidRPr="00781D2C">
        <w:rPr>
          <w:rFonts w:ascii="Times New Roman" w:hAnsi="Times New Roman" w:cs="Times New Roman"/>
          <w:bCs/>
          <w:color w:val="000000"/>
        </w:rPr>
        <w:t>gouvernements</w:t>
      </w:r>
      <w:r w:rsidRPr="00781D2C">
        <w:rPr>
          <w:rFonts w:ascii="Times New Roman" w:hAnsi="Times New Roman" w:cs="Times New Roman"/>
          <w:b/>
          <w:bCs/>
          <w:color w:val="000000"/>
        </w:rPr>
        <w:t xml:space="preserve"> </w:t>
      </w:r>
      <w:r w:rsidRPr="00781D2C">
        <w:rPr>
          <w:rFonts w:ascii="Times New Roman" w:hAnsi="Times New Roman" w:cs="Times New Roman"/>
          <w:color w:val="000000"/>
        </w:rPr>
        <w:t xml:space="preserve">: perte de recettes, contrebande, difficulté de mise en œuvre de politiques commerciales. Enfin, les procédures inefficaces aux frontières nuisent à la compétitivité rendant le pays moins attrayant pour l’investissement. C’est pourquoi, il est admis qu’améliorer l’efficacité des procédures aux frontières </w:t>
      </w:r>
      <w:r>
        <w:rPr>
          <w:rFonts w:ascii="Times New Roman" w:hAnsi="Times New Roman" w:cs="Times New Roman"/>
          <w:color w:val="000000"/>
        </w:rPr>
        <w:t xml:space="preserve">à travers des politiques de facilitation </w:t>
      </w:r>
      <w:r w:rsidRPr="00781D2C">
        <w:rPr>
          <w:rFonts w:ascii="Times New Roman" w:hAnsi="Times New Roman" w:cs="Times New Roman"/>
          <w:color w:val="000000"/>
        </w:rPr>
        <w:t>s’avère bénéfique : les pays qui ont mené à bien des réformes dans ce domaine ont vu s’accroître nettement leurs recettes douanières, malgré la réduction des droits de douane consécutive à la libéralisation des échanges (OCDE, 2005</w:t>
      </w:r>
      <w:r w:rsidR="00D30974">
        <w:rPr>
          <w:rFonts w:ascii="Times New Roman" w:hAnsi="Times New Roman" w:cs="Times New Roman"/>
          <w:color w:val="000000"/>
        </w:rPr>
        <w:t xml:space="preserve"> ; Cadot et </w:t>
      </w:r>
      <w:proofErr w:type="gramStart"/>
      <w:r w:rsidR="00D30974">
        <w:rPr>
          <w:rFonts w:ascii="Times New Roman" w:hAnsi="Times New Roman" w:cs="Times New Roman"/>
          <w:color w:val="000000"/>
        </w:rPr>
        <w:t>al.,</w:t>
      </w:r>
      <w:proofErr w:type="gramEnd"/>
      <w:r w:rsidR="00D30974">
        <w:rPr>
          <w:rFonts w:ascii="Times New Roman" w:hAnsi="Times New Roman" w:cs="Times New Roman"/>
          <w:color w:val="000000"/>
        </w:rPr>
        <w:t xml:space="preserve"> 2011 ; </w:t>
      </w:r>
      <w:proofErr w:type="spellStart"/>
      <w:r w:rsidR="00D30974">
        <w:rPr>
          <w:rFonts w:ascii="Times New Roman" w:hAnsi="Times New Roman" w:cs="Times New Roman"/>
          <w:color w:val="000000"/>
        </w:rPr>
        <w:t>Berrittella</w:t>
      </w:r>
      <w:proofErr w:type="spellEnd"/>
      <w:r w:rsidR="00D30974">
        <w:rPr>
          <w:rFonts w:ascii="Times New Roman" w:hAnsi="Times New Roman" w:cs="Times New Roman"/>
          <w:color w:val="000000"/>
        </w:rPr>
        <w:t xml:space="preserve"> et al., 2012</w:t>
      </w:r>
      <w:r w:rsidRPr="00781D2C">
        <w:rPr>
          <w:rFonts w:ascii="Times New Roman" w:hAnsi="Times New Roman" w:cs="Times New Roman"/>
          <w:color w:val="000000"/>
        </w:rPr>
        <w:t>).</w:t>
      </w:r>
    </w:p>
    <w:p w:rsidR="00377708" w:rsidRDefault="00377708" w:rsidP="00377708">
      <w:pPr>
        <w:rPr>
          <w:rFonts w:ascii="Times New Roman" w:hAnsi="Times New Roman" w:cs="Times New Roman"/>
          <w:b/>
          <w:i/>
          <w:sz w:val="24"/>
          <w:lang w:eastAsia="en-US"/>
        </w:rPr>
      </w:pPr>
    </w:p>
    <w:p w:rsidR="00377708" w:rsidRPr="00377708" w:rsidRDefault="00377708" w:rsidP="00377708">
      <w:pPr>
        <w:rPr>
          <w:rFonts w:ascii="Times New Roman" w:hAnsi="Times New Roman" w:cs="Times New Roman"/>
          <w:b/>
          <w:i/>
          <w:sz w:val="24"/>
          <w:lang w:eastAsia="en-US"/>
        </w:rPr>
      </w:pPr>
      <w:r w:rsidRPr="00377708">
        <w:rPr>
          <w:rFonts w:ascii="Times New Roman" w:hAnsi="Times New Roman" w:cs="Times New Roman"/>
          <w:b/>
          <w:i/>
          <w:sz w:val="24"/>
          <w:lang w:eastAsia="en-US"/>
        </w:rPr>
        <w:t xml:space="preserve">Facilitation </w:t>
      </w:r>
      <w:r>
        <w:rPr>
          <w:rFonts w:ascii="Times New Roman" w:hAnsi="Times New Roman" w:cs="Times New Roman"/>
          <w:b/>
          <w:i/>
          <w:sz w:val="24"/>
          <w:lang w:eastAsia="en-US"/>
        </w:rPr>
        <w:t xml:space="preserve">des échanges </w:t>
      </w:r>
      <w:r w:rsidRPr="00377708">
        <w:rPr>
          <w:rFonts w:ascii="Times New Roman" w:hAnsi="Times New Roman" w:cs="Times New Roman"/>
          <w:b/>
          <w:i/>
          <w:sz w:val="24"/>
          <w:lang w:eastAsia="en-US"/>
        </w:rPr>
        <w:t>et réduction des coûts</w:t>
      </w:r>
    </w:p>
    <w:p w:rsidR="005B1943" w:rsidRDefault="005B1943" w:rsidP="005B1943">
      <w:pPr>
        <w:pStyle w:val="Pa11"/>
        <w:spacing w:before="120" w:after="120" w:line="276" w:lineRule="auto"/>
        <w:jc w:val="both"/>
        <w:rPr>
          <w:rFonts w:ascii="Times New Roman" w:hAnsi="Times New Roman" w:cs="Times New Roman"/>
          <w:color w:val="211D1E"/>
          <w:szCs w:val="22"/>
        </w:rPr>
      </w:pPr>
      <w:r w:rsidRPr="005B1943">
        <w:rPr>
          <w:rFonts w:ascii="Times New Roman" w:hAnsi="Times New Roman" w:cs="Times New Roman"/>
        </w:rPr>
        <w:t>La facilitation d</w:t>
      </w:r>
      <w:r>
        <w:rPr>
          <w:rFonts w:ascii="Times New Roman" w:hAnsi="Times New Roman" w:cs="Times New Roman"/>
        </w:rPr>
        <w:t>es échanges</w:t>
      </w:r>
      <w:r w:rsidRPr="005B1943">
        <w:rPr>
          <w:rFonts w:ascii="Times New Roman" w:hAnsi="Times New Roman" w:cs="Times New Roman"/>
        </w:rPr>
        <w:t xml:space="preserve"> constitue l’un des sujets discutés depuis la Conférence Ministérielle de Singapour</w:t>
      </w:r>
      <w:r w:rsidRPr="005B1943">
        <w:rPr>
          <w:rStyle w:val="Appelnotedebasdep"/>
          <w:rFonts w:ascii="Times New Roman" w:hAnsi="Times New Roman" w:cs="Times New Roman"/>
        </w:rPr>
        <w:footnoteReference w:id="4"/>
      </w:r>
      <w:r w:rsidRPr="005B1943">
        <w:rPr>
          <w:rFonts w:ascii="Times New Roman" w:hAnsi="Times New Roman" w:cs="Times New Roman"/>
        </w:rPr>
        <w:t xml:space="preserve"> en 1996. C’est la déclaration de Doha, adoptée en 2001 qui inclut les négociations sur les modalités de cette question spécifique qui a résisté aux divergences au sein de l’OMC. </w:t>
      </w:r>
      <w:r>
        <w:rPr>
          <w:rFonts w:ascii="Times New Roman" w:hAnsi="Times New Roman" w:cs="Times New Roman"/>
        </w:rPr>
        <w:t>Dans le dessein de</w:t>
      </w:r>
      <w:r w:rsidRPr="005B1943">
        <w:rPr>
          <w:rFonts w:ascii="Times New Roman" w:hAnsi="Times New Roman" w:cs="Times New Roman"/>
        </w:rPr>
        <w:t xml:space="preserve"> réussir le Cycle de Doha, les négociations visent à clarifier et à améliorer les aspects pertinents des Articles du GATT </w:t>
      </w:r>
      <w:r>
        <w:rPr>
          <w:rFonts w:ascii="Times New Roman" w:hAnsi="Times New Roman" w:cs="Times New Roman"/>
        </w:rPr>
        <w:t xml:space="preserve">relatifs </w:t>
      </w:r>
      <w:r w:rsidRPr="005B1943">
        <w:rPr>
          <w:rFonts w:ascii="Times New Roman" w:hAnsi="Times New Roman" w:cs="Times New Roman"/>
        </w:rPr>
        <w:t>à la liberté de transit, aux redevances et formalités liées aux importations et exportations puis à la publication et l’administration des règlements commerc</w:t>
      </w:r>
      <w:r>
        <w:rPr>
          <w:rFonts w:ascii="Times New Roman" w:hAnsi="Times New Roman" w:cs="Times New Roman"/>
        </w:rPr>
        <w:t>iaux</w:t>
      </w:r>
      <w:r w:rsidRPr="005B1943">
        <w:rPr>
          <w:rFonts w:ascii="Times New Roman" w:hAnsi="Times New Roman" w:cs="Times New Roman"/>
        </w:rPr>
        <w:t xml:space="preserve">. C’est la neuvième Conférence Ministérielle de l’OMC qui a débouché en 2013 à Bali, sur un accord sur la facilitation des échanges : il inclut les mesures et les obligations de facilitation des échanges d’une part puis les dispositions de flexibilité pour les pays en développement en termes de traitement spécial et différencié d’autre part. </w:t>
      </w:r>
      <w:r w:rsidRPr="005B1943">
        <w:rPr>
          <w:rFonts w:ascii="Times New Roman" w:hAnsi="Times New Roman" w:cs="Times New Roman"/>
          <w:color w:val="211D1E"/>
          <w:szCs w:val="22"/>
        </w:rPr>
        <w:t xml:space="preserve">Abordant la facilitation, Portugal-Perez et Wilson (2012) </w:t>
      </w:r>
      <w:r>
        <w:rPr>
          <w:rFonts w:ascii="Times New Roman" w:hAnsi="Times New Roman" w:cs="Times New Roman"/>
          <w:color w:val="211D1E"/>
          <w:szCs w:val="22"/>
        </w:rPr>
        <w:t xml:space="preserve">en </w:t>
      </w:r>
      <w:r w:rsidRPr="005B1943">
        <w:rPr>
          <w:rFonts w:ascii="Times New Roman" w:hAnsi="Times New Roman" w:cs="Times New Roman"/>
          <w:color w:val="211D1E"/>
          <w:szCs w:val="22"/>
        </w:rPr>
        <w:t xml:space="preserve">distinguent la dimension « hard » liée aux infrastructures tangibles telles que les routes, les ports, les télécommunications puis la dimension « soft » relative aux infrastructures intangibles incluant la transparence, la douane, l’environnement des affaires et le cadre institutionnel. Ce sont ces derniers éléments qui sont suivis au niveau international pour faciliter le commerce et qui transparaissent dans la définition de l’OMC à savoir, la simplification et l’harmonisation des procédures. </w:t>
      </w:r>
    </w:p>
    <w:p w:rsidR="005B1943" w:rsidRPr="005B1943" w:rsidRDefault="005B1943" w:rsidP="005B1943">
      <w:pPr>
        <w:pStyle w:val="Pa11"/>
        <w:spacing w:before="120" w:after="120" w:line="276" w:lineRule="auto"/>
        <w:jc w:val="both"/>
        <w:rPr>
          <w:rFonts w:ascii="Times New Roman" w:hAnsi="Times New Roman" w:cs="Times New Roman"/>
          <w:sz w:val="36"/>
        </w:rPr>
      </w:pPr>
      <w:r w:rsidRPr="005B1943">
        <w:rPr>
          <w:rFonts w:ascii="Times New Roman" w:hAnsi="Times New Roman" w:cs="Times New Roman"/>
          <w:color w:val="000000"/>
          <w:szCs w:val="17"/>
        </w:rPr>
        <w:t xml:space="preserve">La facilitation des échanges revêt une importance toute particulière pour les pays en développement : ils tireront le plus avantage de procédures commerciales plus efficaces, car une réduction même modeste du coût des échanges aurait un impact </w:t>
      </w:r>
      <w:r w:rsidRPr="005B1943">
        <w:rPr>
          <w:rFonts w:ascii="Times New Roman" w:hAnsi="Times New Roman" w:cs="Times New Roman"/>
          <w:color w:val="000000"/>
        </w:rPr>
        <w:t xml:space="preserve">positif sur le commerce aussi bien pour les pays développés que pour les pays en développement (OCDE, 2005 ; </w:t>
      </w:r>
      <w:proofErr w:type="spellStart"/>
      <w:r w:rsidRPr="005B1943">
        <w:rPr>
          <w:rFonts w:ascii="Times New Roman" w:hAnsi="Times New Roman" w:cs="Times New Roman"/>
          <w:color w:val="000000"/>
        </w:rPr>
        <w:lastRenderedPageBreak/>
        <w:t>Iwanow</w:t>
      </w:r>
      <w:proofErr w:type="spellEnd"/>
      <w:r w:rsidRPr="005B1943">
        <w:rPr>
          <w:rFonts w:ascii="Times New Roman" w:hAnsi="Times New Roman" w:cs="Times New Roman"/>
          <w:color w:val="000000"/>
        </w:rPr>
        <w:t xml:space="preserve">, 2009 ; </w:t>
      </w:r>
      <w:proofErr w:type="spellStart"/>
      <w:r w:rsidRPr="005B1943">
        <w:rPr>
          <w:rFonts w:ascii="Times New Roman" w:hAnsi="Times New Roman" w:cs="Times New Roman"/>
          <w:color w:val="000000"/>
        </w:rPr>
        <w:t>Hoekman</w:t>
      </w:r>
      <w:proofErr w:type="spellEnd"/>
      <w:r w:rsidRPr="005B1943">
        <w:rPr>
          <w:rFonts w:ascii="Times New Roman" w:hAnsi="Times New Roman" w:cs="Times New Roman"/>
          <w:color w:val="000000"/>
        </w:rPr>
        <w:t xml:space="preserve"> et </w:t>
      </w:r>
      <w:proofErr w:type="spellStart"/>
      <w:r w:rsidRPr="005B1943">
        <w:rPr>
          <w:rFonts w:ascii="Times New Roman" w:hAnsi="Times New Roman" w:cs="Times New Roman"/>
          <w:color w:val="000000"/>
        </w:rPr>
        <w:t>Nicita</w:t>
      </w:r>
      <w:proofErr w:type="spellEnd"/>
      <w:r w:rsidRPr="005B1943">
        <w:rPr>
          <w:rFonts w:ascii="Times New Roman" w:hAnsi="Times New Roman" w:cs="Times New Roman"/>
          <w:color w:val="000000"/>
        </w:rPr>
        <w:t>, 2011). Si le bien-être des différents pays s’en trouve amélioré, les pays en développement verront leurs échanges s’accroître davantage, les systèmes actuels étant comparativement inefficaces et les secteurs affectés (produits agroalimentaires, petites et moyennes entreprises) étant cruciaux pour leurs économies. Compte tenu de la façon dont les mesures de facilitation des échanges, qui visent à réduire les coûts de transaction, affectent les différents secteurs de l’économie et les différents opérateurs du commerce international, les recherches de l’OCDE</w:t>
      </w:r>
      <w:r>
        <w:rPr>
          <w:rFonts w:ascii="Times New Roman" w:hAnsi="Times New Roman" w:cs="Times New Roman"/>
          <w:color w:val="000000"/>
        </w:rPr>
        <w:t xml:space="preserve"> (2005)</w:t>
      </w:r>
      <w:r w:rsidRPr="005B1943">
        <w:rPr>
          <w:rFonts w:ascii="Times New Roman" w:hAnsi="Times New Roman" w:cs="Times New Roman"/>
          <w:color w:val="000000"/>
        </w:rPr>
        <w:t xml:space="preserve"> montrent que les pays en développement devraient recueillir les deux tiers des effets bénéfiques de la facilitation des échanges sur le bien-être dans l’ensemble du monde. Entre autres effets d’entrainement, </w:t>
      </w:r>
      <w:r w:rsidRPr="005B1943">
        <w:rPr>
          <w:rFonts w:ascii="Times New Roman" w:hAnsi="Times New Roman" w:cs="Times New Roman"/>
          <w:color w:val="000000"/>
          <w:szCs w:val="17"/>
        </w:rPr>
        <w:t>les pays compétitifs sur le plan des échanges attirent plus facilement les investissements directs étrangers, recouvrent les droits et taxes de façon plus efficace et plus fiable. La perspective d’augmentation des recettes est de fait, l’une des principales incitations à la réforme sur la facilitation des échanges : les pertes de recettes dues à des procédures inefficaces aux frontières sont estimées à plus de 5 % du PIB (OCDE, 2005).</w:t>
      </w:r>
    </w:p>
    <w:p w:rsidR="00592F8B" w:rsidRDefault="00781D2C" w:rsidP="00781D2C">
      <w:pPr>
        <w:pStyle w:val="Pa11"/>
        <w:spacing w:before="120" w:after="120" w:line="276" w:lineRule="auto"/>
        <w:jc w:val="both"/>
        <w:rPr>
          <w:rFonts w:ascii="Times New Roman" w:hAnsi="Times New Roman" w:cs="Times New Roman"/>
        </w:rPr>
      </w:pPr>
      <w:r w:rsidRPr="00781D2C">
        <w:rPr>
          <w:rFonts w:ascii="Times New Roman" w:eastAsia="Times New Roman" w:hAnsi="Times New Roman" w:cs="Times New Roman"/>
          <w:lang w:eastAsia="fr-FR"/>
        </w:rPr>
        <w:t xml:space="preserve">Partant de la définition au sens large de la facilitation du commerce, Wilson et al. (2005) considèrent quatre indicateurs de mesure d’impact : il s’agit de l’efficacité portuaire, les procédures douanières, les réglementations et l’utilisation des TIC. </w:t>
      </w:r>
      <w:proofErr w:type="spellStart"/>
      <w:r w:rsidRPr="00781D2C">
        <w:rPr>
          <w:rFonts w:ascii="Times New Roman" w:hAnsi="Times New Roman" w:cs="Times New Roman"/>
          <w:color w:val="000000"/>
        </w:rPr>
        <w:t>Berkowitz</w:t>
      </w:r>
      <w:proofErr w:type="spellEnd"/>
      <w:r w:rsidRPr="00781D2C">
        <w:rPr>
          <w:rFonts w:ascii="Times New Roman" w:hAnsi="Times New Roman" w:cs="Times New Roman"/>
          <w:color w:val="000000"/>
        </w:rPr>
        <w:t xml:space="preserve"> et al. (2006) indiquent deux effets induits de la facilitation des échanges : un effet de transaction découlant de la réduction des coûts pour les firmes exportatrices puis un effet de production découlant de la transformation des systèmes de production. </w:t>
      </w:r>
      <w:proofErr w:type="spellStart"/>
      <w:r w:rsidRPr="00781D2C">
        <w:rPr>
          <w:rFonts w:ascii="Times New Roman" w:hAnsi="Times New Roman" w:cs="Times New Roman"/>
        </w:rPr>
        <w:t>Iwanow</w:t>
      </w:r>
      <w:proofErr w:type="spellEnd"/>
      <w:r w:rsidRPr="00781D2C">
        <w:rPr>
          <w:rFonts w:ascii="Times New Roman" w:hAnsi="Times New Roman" w:cs="Times New Roman"/>
        </w:rPr>
        <w:t xml:space="preserve"> </w:t>
      </w:r>
      <w:r w:rsidRPr="00781D2C">
        <w:rPr>
          <w:rFonts w:ascii="Times New Roman" w:hAnsi="Times New Roman" w:cs="Times New Roman"/>
          <w:bCs/>
        </w:rPr>
        <w:t xml:space="preserve">et </w:t>
      </w:r>
      <w:proofErr w:type="spellStart"/>
      <w:r w:rsidRPr="00781D2C">
        <w:rPr>
          <w:rFonts w:ascii="Times New Roman" w:hAnsi="Times New Roman" w:cs="Times New Roman"/>
          <w:bCs/>
        </w:rPr>
        <w:t>Kirkpatrick</w:t>
      </w:r>
      <w:proofErr w:type="spellEnd"/>
      <w:r w:rsidRPr="00781D2C">
        <w:rPr>
          <w:rFonts w:ascii="Times New Roman" w:hAnsi="Times New Roman" w:cs="Times New Roman"/>
        </w:rPr>
        <w:t xml:space="preserve"> (2009) montrent pour un échantillon de 124 pays en développement, que </w:t>
      </w:r>
      <w:r w:rsidR="00575B11">
        <w:rPr>
          <w:rFonts w:ascii="Times New Roman" w:hAnsi="Times New Roman" w:cs="Times New Roman"/>
        </w:rPr>
        <w:t>les réformes de facilitation des échanges</w:t>
      </w:r>
      <w:r w:rsidRPr="00781D2C">
        <w:rPr>
          <w:rFonts w:ascii="Times New Roman" w:hAnsi="Times New Roman" w:cs="Times New Roman"/>
        </w:rPr>
        <w:t xml:space="preserve"> contribuent à améliorer les performances de l’Afrique à l’exportation notamment en produits manufacturiers, mieux que dans le reste du monde. Seulement, autant que les réformes, la qualité de la réglementation et les infrastructures de transport et de communication sont aussi nécessaires. </w:t>
      </w:r>
      <w:proofErr w:type="spellStart"/>
      <w:r w:rsidRPr="00781D2C">
        <w:rPr>
          <w:rFonts w:ascii="Times New Roman" w:hAnsi="Times New Roman" w:cs="Times New Roman"/>
        </w:rPr>
        <w:t>Hoekman</w:t>
      </w:r>
      <w:proofErr w:type="spellEnd"/>
      <w:r w:rsidRPr="00781D2C">
        <w:rPr>
          <w:rFonts w:ascii="Times New Roman" w:hAnsi="Times New Roman" w:cs="Times New Roman"/>
        </w:rPr>
        <w:t xml:space="preserve"> et </w:t>
      </w:r>
      <w:proofErr w:type="spellStart"/>
      <w:r w:rsidRPr="00781D2C">
        <w:rPr>
          <w:rFonts w:ascii="Times New Roman" w:hAnsi="Times New Roman" w:cs="Times New Roman"/>
        </w:rPr>
        <w:t>Nicita</w:t>
      </w:r>
      <w:proofErr w:type="spellEnd"/>
      <w:r w:rsidRPr="00781D2C">
        <w:rPr>
          <w:rFonts w:ascii="Times New Roman" w:hAnsi="Times New Roman" w:cs="Times New Roman"/>
        </w:rPr>
        <w:t xml:space="preserve"> (2011) parviennent à la même conclusion que les politiques de facilitation touchant les mesures non tarifaires sont favorables à l’expansion des échanges, les exportations notamment. Portugal-Perez et Wilson (2009) montrent que des gains substantiels peuvent être réalisés avec des politiques de facilitation des échanges dans les pays africains : une réduction des coûts de transaction a un plus grand effet sur les flux commerciaux que celle pouvant porter sur les barrières tarifaires. Mieux, Portugal-Perez et Wilson (2012) indiquent que la dimension hard de la facilitation des échanges incluant les infrastructures physiques et les TIC induisent des effets de plus en plus importants lor</w:t>
      </w:r>
      <w:r w:rsidR="00592F8B">
        <w:rPr>
          <w:rFonts w:ascii="Times New Roman" w:hAnsi="Times New Roman" w:cs="Times New Roman"/>
        </w:rPr>
        <w:t>sque les économies se développe</w:t>
      </w:r>
      <w:r w:rsidRPr="00781D2C">
        <w:rPr>
          <w:rFonts w:ascii="Times New Roman" w:hAnsi="Times New Roman" w:cs="Times New Roman"/>
        </w:rPr>
        <w:t>nt.</w:t>
      </w:r>
    </w:p>
    <w:p w:rsidR="00592F8B" w:rsidRPr="00592F8B" w:rsidRDefault="00592F8B" w:rsidP="00592F8B">
      <w:pPr>
        <w:spacing w:before="120" w:after="120"/>
        <w:jc w:val="both"/>
        <w:rPr>
          <w:rFonts w:ascii="Times New Roman" w:hAnsi="Times New Roman" w:cs="Times New Roman"/>
          <w:sz w:val="24"/>
          <w:szCs w:val="24"/>
        </w:rPr>
      </w:pPr>
      <w:proofErr w:type="spellStart"/>
      <w:r w:rsidRPr="00592F8B">
        <w:rPr>
          <w:rFonts w:ascii="Times New Roman" w:hAnsi="Times New Roman" w:cs="Times New Roman"/>
          <w:sz w:val="24"/>
          <w:szCs w:val="24"/>
        </w:rPr>
        <w:t>Moïsé</w:t>
      </w:r>
      <w:proofErr w:type="spellEnd"/>
      <w:r w:rsidRPr="00592F8B">
        <w:rPr>
          <w:rFonts w:ascii="Times New Roman" w:hAnsi="Times New Roman" w:cs="Times New Roman"/>
          <w:sz w:val="24"/>
          <w:szCs w:val="24"/>
        </w:rPr>
        <w:t xml:space="preserve"> et </w:t>
      </w:r>
      <w:proofErr w:type="spellStart"/>
      <w:r w:rsidRPr="00592F8B">
        <w:rPr>
          <w:rFonts w:ascii="Times New Roman" w:hAnsi="Times New Roman" w:cs="Times New Roman"/>
          <w:sz w:val="24"/>
          <w:szCs w:val="24"/>
        </w:rPr>
        <w:t>Sorescu</w:t>
      </w:r>
      <w:proofErr w:type="spellEnd"/>
      <w:r w:rsidRPr="00592F8B">
        <w:rPr>
          <w:rFonts w:ascii="Times New Roman" w:hAnsi="Times New Roman" w:cs="Times New Roman"/>
          <w:sz w:val="24"/>
          <w:szCs w:val="24"/>
        </w:rPr>
        <w:t xml:space="preserve"> (2013) étudient les effets possibles de la facilitation sur les échanges dans les pays en développement : les domaines qui semblent influer le plus sur les volumes et les coûts du commerce, aussi bien à l’importation qu’à l’exportation sont la disponibilité des informations, la simplification et l’harmonisation des documents, la rationalisation des procédures et l’utilisation de processus automatisés. Ils montrent que l’effet combiné des améliorations dans ces différents domaines est dominant, avec une réduction de 14,5% du coût total du commerce pour les pays à faible revenu, de 15,5% pour les pays à revenu moyen inférieur et de 13,2% pour les pays à revenu moyen supérieur. Ce résultat suggère donc une approche globale des réformes de facilitation des échanges plutôt que des politiques isolées. </w:t>
      </w:r>
      <w:proofErr w:type="spellStart"/>
      <w:r w:rsidRPr="00592F8B">
        <w:rPr>
          <w:rFonts w:ascii="Times New Roman" w:hAnsi="Times New Roman" w:cs="Times New Roman"/>
          <w:sz w:val="24"/>
          <w:szCs w:val="24"/>
        </w:rPr>
        <w:t>Spence</w:t>
      </w:r>
      <w:proofErr w:type="spellEnd"/>
      <w:r w:rsidRPr="00592F8B">
        <w:rPr>
          <w:rFonts w:ascii="Times New Roman" w:hAnsi="Times New Roman" w:cs="Times New Roman"/>
          <w:sz w:val="24"/>
          <w:szCs w:val="24"/>
        </w:rPr>
        <w:t xml:space="preserve"> et </w:t>
      </w:r>
      <w:proofErr w:type="spellStart"/>
      <w:r w:rsidRPr="00592F8B">
        <w:rPr>
          <w:rFonts w:ascii="Times New Roman" w:hAnsi="Times New Roman" w:cs="Times New Roman"/>
          <w:sz w:val="24"/>
          <w:szCs w:val="24"/>
        </w:rPr>
        <w:t>Karingi</w:t>
      </w:r>
      <w:proofErr w:type="spellEnd"/>
      <w:r w:rsidRPr="00592F8B">
        <w:rPr>
          <w:rFonts w:ascii="Times New Roman" w:hAnsi="Times New Roman" w:cs="Times New Roman"/>
          <w:sz w:val="24"/>
          <w:szCs w:val="24"/>
        </w:rPr>
        <w:t xml:space="preserve"> (2011) apprécient l’impact de la facilitation des échanges dans les </w:t>
      </w:r>
      <w:r w:rsidRPr="00592F8B">
        <w:rPr>
          <w:rFonts w:ascii="Times New Roman" w:hAnsi="Times New Roman" w:cs="Times New Roman"/>
          <w:sz w:val="24"/>
          <w:szCs w:val="24"/>
        </w:rPr>
        <w:lastRenderedPageBreak/>
        <w:t>économies africaines : appliquant les quatre indicateurs de la facilitation des échanges proposés par Portugal-Perez et Wilson (2012), ils montrent que les politiques de facilitation confortent la compétitivité des exportations (effet de transaction) mais aussi la productivité globale des facteurs (effet de production). De ce point de vue, les réformes de facilitation des échanges incluant les infrastructures physiques sont constituantes d’une approche holistique de politique commerciale dans les pays africains ; elles participent de la diversification des exportations mais aussi de la compétitivité externe à long terme</w:t>
      </w:r>
      <w:r w:rsidR="00D30974">
        <w:rPr>
          <w:rFonts w:ascii="Times New Roman" w:hAnsi="Times New Roman" w:cs="Times New Roman"/>
          <w:sz w:val="24"/>
          <w:szCs w:val="24"/>
        </w:rPr>
        <w:t xml:space="preserve"> (</w:t>
      </w:r>
      <w:proofErr w:type="spellStart"/>
      <w:r w:rsidR="00D30974">
        <w:rPr>
          <w:rFonts w:ascii="Times New Roman" w:hAnsi="Times New Roman" w:cs="Times New Roman"/>
          <w:sz w:val="24"/>
          <w:szCs w:val="24"/>
        </w:rPr>
        <w:t>Brenton</w:t>
      </w:r>
      <w:proofErr w:type="spellEnd"/>
      <w:r w:rsidR="00D30974">
        <w:rPr>
          <w:rFonts w:ascii="Times New Roman" w:hAnsi="Times New Roman" w:cs="Times New Roman"/>
          <w:sz w:val="24"/>
          <w:szCs w:val="24"/>
        </w:rPr>
        <w:t xml:space="preserve"> et </w:t>
      </w:r>
      <w:proofErr w:type="gramStart"/>
      <w:r w:rsidR="00D30974">
        <w:rPr>
          <w:rFonts w:ascii="Times New Roman" w:hAnsi="Times New Roman" w:cs="Times New Roman"/>
          <w:sz w:val="24"/>
          <w:szCs w:val="24"/>
        </w:rPr>
        <w:t>al.,</w:t>
      </w:r>
      <w:proofErr w:type="gramEnd"/>
      <w:r w:rsidR="00D30974">
        <w:rPr>
          <w:rFonts w:ascii="Times New Roman" w:hAnsi="Times New Roman" w:cs="Times New Roman"/>
          <w:sz w:val="24"/>
          <w:szCs w:val="24"/>
        </w:rPr>
        <w:t xml:space="preserve"> 2009 ; </w:t>
      </w:r>
      <w:proofErr w:type="spellStart"/>
      <w:r w:rsidR="00D30974">
        <w:rPr>
          <w:rFonts w:ascii="Times New Roman" w:hAnsi="Times New Roman" w:cs="Times New Roman"/>
          <w:sz w:val="24"/>
          <w:szCs w:val="24"/>
        </w:rPr>
        <w:t>Bearce</w:t>
      </w:r>
      <w:proofErr w:type="spellEnd"/>
      <w:r w:rsidR="00D30974">
        <w:rPr>
          <w:rFonts w:ascii="Times New Roman" w:hAnsi="Times New Roman" w:cs="Times New Roman"/>
          <w:sz w:val="24"/>
          <w:szCs w:val="24"/>
        </w:rPr>
        <w:t xml:space="preserve"> et al., 2012)</w:t>
      </w:r>
      <w:r w:rsidRPr="00592F8B">
        <w:rPr>
          <w:rFonts w:ascii="Times New Roman" w:hAnsi="Times New Roman" w:cs="Times New Roman"/>
          <w:sz w:val="24"/>
          <w:szCs w:val="24"/>
        </w:rPr>
        <w:t>.</w:t>
      </w:r>
    </w:p>
    <w:p w:rsidR="00781D2C" w:rsidRPr="00781D2C" w:rsidRDefault="00781D2C" w:rsidP="00781D2C">
      <w:pPr>
        <w:pStyle w:val="Pa11"/>
        <w:spacing w:before="120" w:after="120" w:line="276" w:lineRule="auto"/>
        <w:jc w:val="both"/>
        <w:rPr>
          <w:rFonts w:ascii="Times New Roman" w:hAnsi="Times New Roman" w:cs="Times New Roman"/>
        </w:rPr>
      </w:pPr>
      <w:r w:rsidRPr="00781D2C">
        <w:rPr>
          <w:rFonts w:ascii="Times New Roman" w:hAnsi="Times New Roman" w:cs="Times New Roman"/>
        </w:rPr>
        <w:t xml:space="preserve"> </w:t>
      </w:r>
    </w:p>
    <w:p w:rsidR="00033397" w:rsidRPr="00377708" w:rsidRDefault="00377708" w:rsidP="007318B8">
      <w:pPr>
        <w:spacing w:before="120" w:after="120"/>
        <w:jc w:val="both"/>
        <w:rPr>
          <w:rFonts w:ascii="Times New Roman" w:hAnsi="Times New Roman" w:cs="Times New Roman"/>
          <w:b/>
          <w:i/>
          <w:sz w:val="24"/>
          <w:szCs w:val="24"/>
        </w:rPr>
      </w:pPr>
      <w:r w:rsidRPr="00377708">
        <w:rPr>
          <w:rFonts w:ascii="Times New Roman" w:hAnsi="Times New Roman" w:cs="Times New Roman"/>
          <w:b/>
          <w:i/>
          <w:sz w:val="24"/>
          <w:szCs w:val="24"/>
        </w:rPr>
        <w:t>Coût des réformes de facilitation et implication pour l’aide</w:t>
      </w:r>
    </w:p>
    <w:p w:rsidR="00D00CCC" w:rsidRDefault="00781D2C" w:rsidP="00781D2C">
      <w:pPr>
        <w:spacing w:before="120" w:after="120"/>
        <w:jc w:val="both"/>
        <w:rPr>
          <w:rFonts w:ascii="Times New Roman" w:hAnsi="Times New Roman" w:cs="Times New Roman"/>
          <w:color w:val="000000"/>
          <w:sz w:val="24"/>
          <w:szCs w:val="17"/>
        </w:rPr>
      </w:pPr>
      <w:r w:rsidRPr="00592F8B">
        <w:rPr>
          <w:rFonts w:ascii="Times New Roman" w:hAnsi="Times New Roman" w:cs="Times New Roman"/>
          <w:sz w:val="24"/>
          <w:szCs w:val="24"/>
        </w:rPr>
        <w:t xml:space="preserve">Si les politiques de facilitation des échanges sont bénéfiques en réduisant les coûts de l’inefficacité des procédures, leur mise en œuvre implique aussi des coûts liés  aux </w:t>
      </w:r>
      <w:r w:rsidRPr="00592F8B">
        <w:rPr>
          <w:rFonts w:ascii="Times New Roman" w:hAnsi="Times New Roman" w:cs="Times New Roman"/>
          <w:color w:val="000000"/>
          <w:sz w:val="24"/>
          <w:szCs w:val="24"/>
        </w:rPr>
        <w:t xml:space="preserve">nouvelles réglementations, aux changements institutionnels, à la formation, aux équipements et aux infrastructures. Les coûts réglementaires découlent des nouvelles lois ou des amendements qu’implique la facilitation des échanges ; les coûts institutionnels découlent de la création de nouveaux services à l’instar de guichet unique. La formation est probablement l’élément le plus important de la facilitation des échanges, étant donné les nouvelles pratiques des administrations. Enfin, les équipements et les infrastructures représentent souvent le poste le plus lourd : cependant, </w:t>
      </w:r>
      <w:r w:rsidR="00E22380">
        <w:rPr>
          <w:rFonts w:ascii="Times New Roman" w:hAnsi="Times New Roman" w:cs="Times New Roman"/>
          <w:color w:val="000000"/>
          <w:sz w:val="24"/>
          <w:szCs w:val="24"/>
        </w:rPr>
        <w:t xml:space="preserve">les </w:t>
      </w:r>
      <w:r w:rsidRPr="00592F8B">
        <w:rPr>
          <w:rFonts w:ascii="Times New Roman" w:hAnsi="Times New Roman" w:cs="Times New Roman"/>
          <w:color w:val="000000"/>
          <w:sz w:val="24"/>
          <w:szCs w:val="24"/>
        </w:rPr>
        <w:t xml:space="preserve">équipements et </w:t>
      </w:r>
      <w:r w:rsidR="00E22380">
        <w:rPr>
          <w:rFonts w:ascii="Times New Roman" w:hAnsi="Times New Roman" w:cs="Times New Roman"/>
          <w:color w:val="000000"/>
          <w:sz w:val="24"/>
          <w:szCs w:val="24"/>
        </w:rPr>
        <w:t xml:space="preserve">les </w:t>
      </w:r>
      <w:r w:rsidRPr="00592F8B">
        <w:rPr>
          <w:rFonts w:ascii="Times New Roman" w:hAnsi="Times New Roman" w:cs="Times New Roman"/>
          <w:color w:val="000000"/>
          <w:sz w:val="24"/>
          <w:szCs w:val="24"/>
        </w:rPr>
        <w:t xml:space="preserve">infrastructures sont des outils à combiner avec les réformes liées à la réglementation, au cadre institutionnel et aux ressources humaines. Notamment, les technologies de l’information et de la communication permettent d’améliorer l’efficacité, mais elles supposent la simplification des formalités en amont pour optimiser l’adoption du système automatisé. Toutefois, </w:t>
      </w:r>
      <w:r w:rsidRPr="00592F8B">
        <w:rPr>
          <w:rFonts w:ascii="Times New Roman" w:hAnsi="Times New Roman" w:cs="Times New Roman"/>
          <w:color w:val="000000"/>
          <w:sz w:val="24"/>
          <w:szCs w:val="17"/>
        </w:rPr>
        <w:t>ces coûts sont plus que compensés par la diminution des effectifs aux frontières et l’amélioration des contrôles et des recettes. La plupart des pays en développement qui ont procédé à ces réformes en ont tiré des avantages supérieurs à leurs coûts et souvent, très largement supérieurs : c’est le cas d’un programme quinquennal de modernisation douanière ayant permis à l’Angola d’augmenter les recettes de 150%, la durée des procédures douanières étant réduite à 24 heures</w:t>
      </w:r>
      <w:r w:rsidR="008628E0">
        <w:rPr>
          <w:rFonts w:ascii="Times New Roman" w:hAnsi="Times New Roman" w:cs="Times New Roman"/>
          <w:color w:val="000000"/>
          <w:sz w:val="24"/>
          <w:szCs w:val="17"/>
        </w:rPr>
        <w:t xml:space="preserve"> (</w:t>
      </w:r>
      <w:r w:rsidR="00D00CCC">
        <w:rPr>
          <w:rFonts w:ascii="Times New Roman" w:hAnsi="Times New Roman" w:cs="Times New Roman"/>
          <w:color w:val="000000"/>
          <w:sz w:val="24"/>
          <w:szCs w:val="17"/>
        </w:rPr>
        <w:t>OECD, 2005).</w:t>
      </w:r>
    </w:p>
    <w:p w:rsidR="00AD20BF" w:rsidRDefault="003B4DC2" w:rsidP="00AD20BF">
      <w:pPr>
        <w:spacing w:before="120" w:after="120"/>
        <w:jc w:val="both"/>
        <w:rPr>
          <w:rFonts w:ascii="Times New Roman" w:hAnsi="Times New Roman" w:cs="Times New Roman"/>
          <w:sz w:val="24"/>
          <w:szCs w:val="24"/>
        </w:rPr>
      </w:pPr>
      <w:r>
        <w:rPr>
          <w:rFonts w:ascii="Times New Roman" w:hAnsi="Times New Roman" w:cs="Times New Roman"/>
          <w:sz w:val="24"/>
        </w:rPr>
        <w:t xml:space="preserve">Comme l’indiquent </w:t>
      </w:r>
      <w:r w:rsidRPr="003B4DC2">
        <w:rPr>
          <w:rFonts w:ascii="Times New Roman" w:hAnsi="Times New Roman" w:cs="Times New Roman"/>
          <w:sz w:val="24"/>
        </w:rPr>
        <w:t xml:space="preserve">Stiglitz </w:t>
      </w:r>
      <w:r>
        <w:rPr>
          <w:rFonts w:ascii="Times New Roman" w:hAnsi="Times New Roman" w:cs="Times New Roman"/>
          <w:sz w:val="24"/>
        </w:rPr>
        <w:t>et</w:t>
      </w:r>
      <w:r w:rsidRPr="003B4DC2">
        <w:rPr>
          <w:rFonts w:ascii="Times New Roman" w:hAnsi="Times New Roman" w:cs="Times New Roman"/>
          <w:sz w:val="24"/>
        </w:rPr>
        <w:t xml:space="preserve"> Charlton (2006)</w:t>
      </w:r>
      <w:r>
        <w:rPr>
          <w:rFonts w:ascii="Times New Roman" w:hAnsi="Times New Roman" w:cs="Times New Roman"/>
          <w:sz w:val="24"/>
        </w:rPr>
        <w:t>, beaucoup de pays en développement n’ont pas été capables de réaliser les obligations du cycle de l’Uruguay du fait des coûts associés. C’est pourquoi, é</w:t>
      </w:r>
      <w:r w:rsidR="00D00CCC" w:rsidRPr="00D00CCC">
        <w:rPr>
          <w:rFonts w:ascii="Times New Roman" w:hAnsi="Times New Roman" w:cs="Times New Roman"/>
          <w:sz w:val="24"/>
          <w:szCs w:val="24"/>
        </w:rPr>
        <w:t>tant donné les avantages d</w:t>
      </w:r>
      <w:r w:rsidR="00D00CCC">
        <w:rPr>
          <w:rFonts w:ascii="Times New Roman" w:hAnsi="Times New Roman" w:cs="Times New Roman"/>
          <w:sz w:val="24"/>
          <w:szCs w:val="24"/>
        </w:rPr>
        <w:t>es programmes de facilitation des échanges d’une part et des besoins de ressources nécessaires à leur implémentation</w:t>
      </w:r>
      <w:r>
        <w:rPr>
          <w:rFonts w:ascii="Times New Roman" w:hAnsi="Times New Roman" w:cs="Times New Roman"/>
          <w:sz w:val="24"/>
          <w:szCs w:val="24"/>
        </w:rPr>
        <w:t xml:space="preserve"> d’autre part</w:t>
      </w:r>
      <w:r w:rsidR="00D00CCC">
        <w:rPr>
          <w:rFonts w:ascii="Times New Roman" w:hAnsi="Times New Roman" w:cs="Times New Roman"/>
          <w:sz w:val="24"/>
          <w:szCs w:val="24"/>
        </w:rPr>
        <w:t>, l’orientation de l’aide vers le commerce est devenue un enjeu crucial dans les pays en développement</w:t>
      </w:r>
      <w:r w:rsidR="00D00CCC" w:rsidRPr="00D00CCC">
        <w:rPr>
          <w:rFonts w:ascii="Times New Roman" w:eastAsia="Times New Roman" w:hAnsi="Times New Roman" w:cs="Times New Roman"/>
          <w:sz w:val="24"/>
          <w:szCs w:val="24"/>
        </w:rPr>
        <w:t xml:space="preserve"> </w:t>
      </w:r>
      <w:r w:rsidR="00D00CCC">
        <w:rPr>
          <w:rFonts w:ascii="Times New Roman" w:eastAsia="Times New Roman" w:hAnsi="Times New Roman" w:cs="Times New Roman"/>
          <w:sz w:val="24"/>
          <w:szCs w:val="24"/>
        </w:rPr>
        <w:t xml:space="preserve">(Higgins et </w:t>
      </w:r>
      <w:proofErr w:type="spellStart"/>
      <w:r w:rsidR="00D00CCC">
        <w:rPr>
          <w:rFonts w:ascii="Times New Roman" w:eastAsia="Times New Roman" w:hAnsi="Times New Roman" w:cs="Times New Roman"/>
          <w:sz w:val="24"/>
          <w:szCs w:val="24"/>
        </w:rPr>
        <w:t>Prowse</w:t>
      </w:r>
      <w:proofErr w:type="spellEnd"/>
      <w:r w:rsidR="00D00CCC">
        <w:rPr>
          <w:rFonts w:ascii="Times New Roman" w:eastAsia="Times New Roman" w:hAnsi="Times New Roman" w:cs="Times New Roman"/>
          <w:sz w:val="24"/>
          <w:szCs w:val="24"/>
        </w:rPr>
        <w:t>, 2010</w:t>
      </w:r>
      <w:r w:rsidR="00D30974">
        <w:rPr>
          <w:rFonts w:ascii="Times New Roman" w:eastAsia="Times New Roman" w:hAnsi="Times New Roman" w:cs="Times New Roman"/>
          <w:sz w:val="24"/>
          <w:szCs w:val="24"/>
        </w:rPr>
        <w:t xml:space="preserve"> ; </w:t>
      </w:r>
      <w:proofErr w:type="spellStart"/>
      <w:r w:rsidR="00D30974">
        <w:rPr>
          <w:rFonts w:ascii="Times New Roman" w:eastAsia="Times New Roman" w:hAnsi="Times New Roman" w:cs="Times New Roman"/>
          <w:sz w:val="24"/>
          <w:szCs w:val="24"/>
        </w:rPr>
        <w:t>Helble</w:t>
      </w:r>
      <w:proofErr w:type="spellEnd"/>
      <w:r w:rsidR="00D30974">
        <w:rPr>
          <w:rFonts w:ascii="Times New Roman" w:eastAsia="Times New Roman" w:hAnsi="Times New Roman" w:cs="Times New Roman"/>
          <w:sz w:val="24"/>
          <w:szCs w:val="24"/>
        </w:rPr>
        <w:t xml:space="preserve"> et </w:t>
      </w:r>
      <w:proofErr w:type="gramStart"/>
      <w:r w:rsidR="00D30974">
        <w:rPr>
          <w:rFonts w:ascii="Times New Roman" w:eastAsia="Times New Roman" w:hAnsi="Times New Roman" w:cs="Times New Roman"/>
          <w:sz w:val="24"/>
          <w:szCs w:val="24"/>
        </w:rPr>
        <w:t>al.,</w:t>
      </w:r>
      <w:proofErr w:type="gramEnd"/>
      <w:r w:rsidR="00D30974">
        <w:rPr>
          <w:rFonts w:ascii="Times New Roman" w:eastAsia="Times New Roman" w:hAnsi="Times New Roman" w:cs="Times New Roman"/>
          <w:sz w:val="24"/>
          <w:szCs w:val="24"/>
        </w:rPr>
        <w:t xml:space="preserve"> 2009</w:t>
      </w:r>
      <w:r w:rsidR="00D00CCC">
        <w:rPr>
          <w:rFonts w:ascii="Times New Roman" w:eastAsia="Times New Roman" w:hAnsi="Times New Roman" w:cs="Times New Roman"/>
          <w:sz w:val="24"/>
          <w:szCs w:val="24"/>
        </w:rPr>
        <w:t>)</w:t>
      </w:r>
      <w:r w:rsidR="00D00CCC">
        <w:rPr>
          <w:rFonts w:ascii="Times New Roman" w:hAnsi="Times New Roman" w:cs="Times New Roman"/>
          <w:sz w:val="24"/>
          <w:szCs w:val="24"/>
        </w:rPr>
        <w:t xml:space="preserve">. </w:t>
      </w:r>
      <w:r w:rsidR="00D00CCC" w:rsidRPr="00D00CCC">
        <w:rPr>
          <w:rFonts w:ascii="Times New Roman" w:hAnsi="Times New Roman" w:cs="Times New Roman"/>
          <w:sz w:val="24"/>
          <w:szCs w:val="24"/>
        </w:rPr>
        <w:t>A ce titre, appuyer ces pays à surmonter les b</w:t>
      </w:r>
      <w:r w:rsidR="00D00CCC">
        <w:rPr>
          <w:rFonts w:ascii="Times New Roman" w:hAnsi="Times New Roman" w:cs="Times New Roman"/>
          <w:sz w:val="24"/>
          <w:szCs w:val="24"/>
        </w:rPr>
        <w:t>arrières à l’expansion des échanges et tirer profit du commerce, constitue l’objet principal du programme "aide pour le commerce"</w:t>
      </w:r>
      <w:r w:rsidR="00523010">
        <w:rPr>
          <w:rFonts w:ascii="Times New Roman" w:hAnsi="Times New Roman" w:cs="Times New Roman"/>
          <w:sz w:val="24"/>
          <w:szCs w:val="24"/>
        </w:rPr>
        <w:t xml:space="preserve"> (OECD, 2009)</w:t>
      </w:r>
      <w:r w:rsidR="00D00CCC">
        <w:rPr>
          <w:rFonts w:ascii="Times New Roman" w:hAnsi="Times New Roman" w:cs="Times New Roman"/>
          <w:sz w:val="24"/>
          <w:szCs w:val="24"/>
        </w:rPr>
        <w:t>.</w:t>
      </w:r>
      <w:r w:rsidR="00662661">
        <w:rPr>
          <w:rFonts w:ascii="Times New Roman" w:hAnsi="Times New Roman" w:cs="Times New Roman"/>
          <w:sz w:val="24"/>
          <w:szCs w:val="24"/>
        </w:rPr>
        <w:t xml:space="preserve"> De façon générale, l’amélioration de l’accès au marché des produits des PMA occupe une place centrale dans les négociations commerciales du cycle de Doha ; mais aussi, le renforcement des capacités d’offre</w:t>
      </w:r>
      <w:r w:rsidR="0053549C">
        <w:rPr>
          <w:rFonts w:ascii="Times New Roman" w:hAnsi="Times New Roman" w:cs="Times New Roman"/>
          <w:sz w:val="24"/>
          <w:szCs w:val="24"/>
        </w:rPr>
        <w:t xml:space="preserve">, les politiques tarifaires et les investissements conséquents devraient se compléter. Ces certitudes ont guidé l’implication des pays développés dans les programmes d’aide visant à soutenir les politiques de développement du commerce et de facilitation des échanges : c’est l’approche de "l’aide pour le commerce". Globalement, "l’aide pour le commerce" inclut </w:t>
      </w:r>
      <w:r w:rsidR="002C3F12">
        <w:rPr>
          <w:rFonts w:ascii="Times New Roman" w:hAnsi="Times New Roman" w:cs="Times New Roman"/>
          <w:sz w:val="24"/>
          <w:szCs w:val="24"/>
        </w:rPr>
        <w:t xml:space="preserve">(i) </w:t>
      </w:r>
      <w:r w:rsidR="0053549C">
        <w:rPr>
          <w:rFonts w:ascii="Times New Roman" w:hAnsi="Times New Roman" w:cs="Times New Roman"/>
          <w:sz w:val="24"/>
          <w:szCs w:val="24"/>
        </w:rPr>
        <w:t xml:space="preserve">l’assistance </w:t>
      </w:r>
      <w:r w:rsidR="0053549C">
        <w:rPr>
          <w:rFonts w:ascii="Times New Roman" w:hAnsi="Times New Roman" w:cs="Times New Roman"/>
          <w:sz w:val="24"/>
          <w:szCs w:val="24"/>
        </w:rPr>
        <w:lastRenderedPageBreak/>
        <w:t>technique</w:t>
      </w:r>
      <w:r w:rsidR="002C3F12">
        <w:rPr>
          <w:rFonts w:ascii="Times New Roman" w:hAnsi="Times New Roman" w:cs="Times New Roman"/>
          <w:sz w:val="24"/>
          <w:szCs w:val="24"/>
        </w:rPr>
        <w:t xml:space="preserve"> liée aux stratégies commerciale et aux pratiques de négociation</w:t>
      </w:r>
      <w:r w:rsidR="0053549C">
        <w:rPr>
          <w:rFonts w:ascii="Times New Roman" w:hAnsi="Times New Roman" w:cs="Times New Roman"/>
          <w:sz w:val="24"/>
          <w:szCs w:val="24"/>
        </w:rPr>
        <w:t xml:space="preserve">, </w:t>
      </w:r>
      <w:r w:rsidR="002C3F12">
        <w:rPr>
          <w:rFonts w:ascii="Times New Roman" w:hAnsi="Times New Roman" w:cs="Times New Roman"/>
          <w:sz w:val="24"/>
          <w:szCs w:val="24"/>
        </w:rPr>
        <w:t>(ii) les infrastructures dont les routes, les ports et les télécommunications, (iii) la capacité de production avec des investissements favorables à la diversification des exportations et l’exploitation des avantages comparatifs puis (iv) l’aide à l’ajustement qui compense les pertes tarifaires et la détérioration des termes de l’échange</w:t>
      </w:r>
      <w:r w:rsidR="00523010" w:rsidRPr="00523010">
        <w:rPr>
          <w:rFonts w:ascii="Times New Roman" w:eastAsia="Times New Roman" w:hAnsi="Times New Roman" w:cs="Times New Roman"/>
          <w:sz w:val="24"/>
          <w:szCs w:val="24"/>
        </w:rPr>
        <w:t xml:space="preserve"> </w:t>
      </w:r>
      <w:r w:rsidR="00523010">
        <w:rPr>
          <w:rFonts w:ascii="Times New Roman" w:eastAsia="Times New Roman" w:hAnsi="Times New Roman" w:cs="Times New Roman"/>
          <w:sz w:val="24"/>
          <w:szCs w:val="24"/>
        </w:rPr>
        <w:t xml:space="preserve">(Higgins et </w:t>
      </w:r>
      <w:proofErr w:type="spellStart"/>
      <w:r w:rsidR="00523010">
        <w:rPr>
          <w:rFonts w:ascii="Times New Roman" w:eastAsia="Times New Roman" w:hAnsi="Times New Roman" w:cs="Times New Roman"/>
          <w:sz w:val="24"/>
          <w:szCs w:val="24"/>
        </w:rPr>
        <w:t>Prowse</w:t>
      </w:r>
      <w:proofErr w:type="spellEnd"/>
      <w:r w:rsidR="00523010">
        <w:rPr>
          <w:rFonts w:ascii="Times New Roman" w:eastAsia="Times New Roman" w:hAnsi="Times New Roman" w:cs="Times New Roman"/>
          <w:sz w:val="24"/>
          <w:szCs w:val="24"/>
        </w:rPr>
        <w:t>, 2010 ; OECD, 2009)</w:t>
      </w:r>
      <w:r w:rsidR="002C3F12">
        <w:rPr>
          <w:rFonts w:ascii="Times New Roman" w:hAnsi="Times New Roman" w:cs="Times New Roman"/>
          <w:sz w:val="24"/>
          <w:szCs w:val="24"/>
        </w:rPr>
        <w:t>.</w:t>
      </w:r>
    </w:p>
    <w:p w:rsidR="00AD20BF" w:rsidRPr="00D00CCC" w:rsidRDefault="009A31D1" w:rsidP="00AD20BF">
      <w:pPr>
        <w:spacing w:before="120" w:after="120"/>
        <w:jc w:val="both"/>
        <w:rPr>
          <w:rFonts w:ascii="Times New Roman" w:hAnsi="Times New Roman" w:cs="Times New Roman"/>
          <w:sz w:val="24"/>
          <w:szCs w:val="24"/>
        </w:rPr>
      </w:pPr>
      <w:r w:rsidRPr="009A31D1">
        <w:rPr>
          <w:rFonts w:ascii="Times New Roman" w:eastAsia="Times New Roman" w:hAnsi="Times New Roman" w:cs="Times New Roman"/>
          <w:sz w:val="24"/>
          <w:szCs w:val="24"/>
        </w:rPr>
        <w:t xml:space="preserve">Selon Higgins et </w:t>
      </w:r>
      <w:proofErr w:type="spellStart"/>
      <w:r w:rsidRPr="009A31D1">
        <w:rPr>
          <w:rFonts w:ascii="Times New Roman" w:eastAsia="Times New Roman" w:hAnsi="Times New Roman" w:cs="Times New Roman"/>
          <w:sz w:val="24"/>
          <w:szCs w:val="24"/>
        </w:rPr>
        <w:t>Prowse</w:t>
      </w:r>
      <w:proofErr w:type="spellEnd"/>
      <w:r w:rsidRPr="009A31D1">
        <w:rPr>
          <w:rFonts w:ascii="Times New Roman" w:eastAsia="Times New Roman" w:hAnsi="Times New Roman" w:cs="Times New Roman"/>
          <w:sz w:val="24"/>
          <w:szCs w:val="24"/>
        </w:rPr>
        <w:t xml:space="preserve"> (2010), l’i</w:t>
      </w:r>
      <w:r>
        <w:rPr>
          <w:rFonts w:ascii="Times New Roman" w:eastAsia="Times New Roman" w:hAnsi="Times New Roman" w:cs="Times New Roman"/>
          <w:sz w:val="24"/>
          <w:szCs w:val="24"/>
        </w:rPr>
        <w:t xml:space="preserve">nitiative "aide pour le commerce" est devenue effective </w:t>
      </w:r>
      <w:r w:rsidR="00A86408">
        <w:rPr>
          <w:rFonts w:ascii="Times New Roman" w:eastAsia="Times New Roman" w:hAnsi="Times New Roman" w:cs="Times New Roman"/>
          <w:sz w:val="24"/>
          <w:szCs w:val="24"/>
        </w:rPr>
        <w:t xml:space="preserve">ces dernières années, </w:t>
      </w:r>
      <w:r>
        <w:rPr>
          <w:rFonts w:ascii="Times New Roman" w:eastAsia="Times New Roman" w:hAnsi="Times New Roman" w:cs="Times New Roman"/>
          <w:sz w:val="24"/>
          <w:szCs w:val="24"/>
        </w:rPr>
        <w:t>avec</w:t>
      </w:r>
      <w:r w:rsidR="005819C3">
        <w:rPr>
          <w:rFonts w:ascii="Times New Roman" w:eastAsia="Times New Roman" w:hAnsi="Times New Roman" w:cs="Times New Roman"/>
          <w:sz w:val="24"/>
          <w:szCs w:val="24"/>
        </w:rPr>
        <w:t xml:space="preserve"> notamment</w:t>
      </w:r>
      <w:r>
        <w:rPr>
          <w:rFonts w:ascii="Times New Roman" w:eastAsia="Times New Roman" w:hAnsi="Times New Roman" w:cs="Times New Roman"/>
          <w:sz w:val="24"/>
          <w:szCs w:val="24"/>
        </w:rPr>
        <w:t xml:space="preserve"> l’accroissement de l’appui aux PMA</w:t>
      </w:r>
      <w:r w:rsidR="00A86408">
        <w:rPr>
          <w:rFonts w:ascii="Times New Roman" w:eastAsia="Times New Roman" w:hAnsi="Times New Roman" w:cs="Times New Roman"/>
          <w:sz w:val="24"/>
          <w:szCs w:val="24"/>
        </w:rPr>
        <w:t xml:space="preserve"> ayant abouti à la réduction des contraintes de frontières qui limitent le</w:t>
      </w:r>
      <w:r w:rsidR="004F2FF7">
        <w:rPr>
          <w:rFonts w:ascii="Times New Roman" w:eastAsia="Times New Roman" w:hAnsi="Times New Roman" w:cs="Times New Roman"/>
          <w:sz w:val="24"/>
          <w:szCs w:val="24"/>
        </w:rPr>
        <w:t>ur</w:t>
      </w:r>
      <w:r w:rsidR="00A86408">
        <w:rPr>
          <w:rFonts w:ascii="Times New Roman" w:eastAsia="Times New Roman" w:hAnsi="Times New Roman" w:cs="Times New Roman"/>
          <w:sz w:val="24"/>
          <w:szCs w:val="24"/>
        </w:rPr>
        <w:t xml:space="preserve">s capacités </w:t>
      </w:r>
      <w:r w:rsidR="004F2FF7">
        <w:rPr>
          <w:rFonts w:ascii="Times New Roman" w:eastAsia="Times New Roman" w:hAnsi="Times New Roman" w:cs="Times New Roman"/>
          <w:sz w:val="24"/>
          <w:szCs w:val="24"/>
        </w:rPr>
        <w:t xml:space="preserve">à </w:t>
      </w:r>
      <w:r w:rsidR="00A86408">
        <w:rPr>
          <w:rFonts w:ascii="Times New Roman" w:eastAsia="Times New Roman" w:hAnsi="Times New Roman" w:cs="Times New Roman"/>
          <w:sz w:val="24"/>
          <w:szCs w:val="24"/>
        </w:rPr>
        <w:t>intégrer le système de commerce multilatéral</w:t>
      </w:r>
      <w:r w:rsidR="00FC650B">
        <w:rPr>
          <w:rFonts w:ascii="Times New Roman" w:eastAsia="Times New Roman" w:hAnsi="Times New Roman" w:cs="Times New Roman"/>
          <w:sz w:val="24"/>
          <w:szCs w:val="24"/>
        </w:rPr>
        <w:t>.</w:t>
      </w:r>
      <w:r w:rsidR="004F2FF7">
        <w:rPr>
          <w:rFonts w:ascii="Times New Roman" w:eastAsia="Times New Roman" w:hAnsi="Times New Roman" w:cs="Times New Roman"/>
          <w:sz w:val="24"/>
          <w:szCs w:val="24"/>
        </w:rPr>
        <w:t xml:space="preserve"> </w:t>
      </w:r>
      <w:r w:rsidR="00FC650B">
        <w:rPr>
          <w:rFonts w:ascii="Times New Roman" w:eastAsia="Times New Roman" w:hAnsi="Times New Roman" w:cs="Times New Roman"/>
          <w:sz w:val="24"/>
          <w:szCs w:val="24"/>
        </w:rPr>
        <w:t>S</w:t>
      </w:r>
      <w:r w:rsidR="004F2FF7">
        <w:rPr>
          <w:rFonts w:ascii="Times New Roman" w:eastAsia="Times New Roman" w:hAnsi="Times New Roman" w:cs="Times New Roman"/>
          <w:sz w:val="24"/>
          <w:szCs w:val="24"/>
        </w:rPr>
        <w:t xml:space="preserve">elon le second examen global de l’aide pour le commerce, les donateurs ont accru leur aide </w:t>
      </w:r>
      <w:r w:rsidR="00FC650B">
        <w:rPr>
          <w:rFonts w:ascii="Times New Roman" w:eastAsia="Times New Roman" w:hAnsi="Times New Roman" w:cs="Times New Roman"/>
          <w:sz w:val="24"/>
          <w:szCs w:val="24"/>
        </w:rPr>
        <w:t>pour l’expansion des échanges dans les pays en développement : l’aide aura augmenté d’environ 10% en termes réels entre 2006 et 2007 puis les engagements aussi bien bilatéraux que multilatéraux atteindraient 25.4 milliards de dollars en 2007 avec 27.3 milliards de dollars de financement non concessionnel orienté</w:t>
      </w:r>
      <w:r w:rsidR="00E22380">
        <w:rPr>
          <w:rFonts w:ascii="Times New Roman" w:eastAsia="Times New Roman" w:hAnsi="Times New Roman" w:cs="Times New Roman"/>
          <w:sz w:val="24"/>
          <w:szCs w:val="24"/>
        </w:rPr>
        <w:t>s</w:t>
      </w:r>
      <w:r w:rsidR="00FC650B">
        <w:rPr>
          <w:rFonts w:ascii="Times New Roman" w:eastAsia="Times New Roman" w:hAnsi="Times New Roman" w:cs="Times New Roman"/>
          <w:sz w:val="24"/>
          <w:szCs w:val="24"/>
        </w:rPr>
        <w:t xml:space="preserve"> </w:t>
      </w:r>
      <w:r w:rsidR="00E22380">
        <w:rPr>
          <w:rFonts w:ascii="Times New Roman" w:eastAsia="Times New Roman" w:hAnsi="Times New Roman" w:cs="Times New Roman"/>
          <w:sz w:val="24"/>
          <w:szCs w:val="24"/>
        </w:rPr>
        <w:t xml:space="preserve">vers le </w:t>
      </w:r>
      <w:r w:rsidR="00FC650B">
        <w:rPr>
          <w:rFonts w:ascii="Times New Roman" w:eastAsia="Times New Roman" w:hAnsi="Times New Roman" w:cs="Times New Roman"/>
          <w:sz w:val="24"/>
          <w:szCs w:val="24"/>
        </w:rPr>
        <w:t>commerce (OECD/WTO, 2009).</w:t>
      </w:r>
      <w:r w:rsidR="00AD20BF" w:rsidRPr="00AD20BF">
        <w:rPr>
          <w:rFonts w:ascii="Times New Roman" w:hAnsi="Times New Roman" w:cs="Times New Roman"/>
          <w:sz w:val="24"/>
          <w:szCs w:val="24"/>
        </w:rPr>
        <w:t xml:space="preserve"> </w:t>
      </w:r>
      <w:r w:rsidR="00AD20BF">
        <w:rPr>
          <w:rFonts w:ascii="Times New Roman" w:hAnsi="Times New Roman" w:cs="Times New Roman"/>
          <w:sz w:val="24"/>
          <w:szCs w:val="24"/>
        </w:rPr>
        <w:t>Dans cette approche de "l’aide pour le commerce" s’inscrit donc le volet "accès au marché" du programme MCA au Bénin étant donné les résultats mitigés du programme AGOA ; il se révèle comme une réponse à l’appel de Hong Kong de décembre 2005, invitant les donateurs à accroître les ressources d’aide au commerce</w:t>
      </w:r>
      <w:r w:rsidR="00AD20BF">
        <w:rPr>
          <w:rStyle w:val="Appelnotedebasdep"/>
          <w:rFonts w:ascii="Times New Roman" w:hAnsi="Times New Roman" w:cs="Times New Roman"/>
          <w:sz w:val="24"/>
          <w:szCs w:val="24"/>
        </w:rPr>
        <w:footnoteReference w:id="5"/>
      </w:r>
      <w:r w:rsidR="00AD20BF">
        <w:rPr>
          <w:rFonts w:ascii="Times New Roman" w:hAnsi="Times New Roman" w:cs="Times New Roman"/>
          <w:sz w:val="24"/>
          <w:szCs w:val="24"/>
        </w:rPr>
        <w:t xml:space="preserve">. </w:t>
      </w:r>
    </w:p>
    <w:p w:rsidR="00662661" w:rsidRPr="006B17F2" w:rsidRDefault="00C378FD" w:rsidP="007318B8">
      <w:pPr>
        <w:spacing w:before="120" w:after="120"/>
        <w:jc w:val="both"/>
        <w:rPr>
          <w:rFonts w:ascii="Times New Roman" w:hAnsi="Times New Roman" w:cs="Times New Roman"/>
          <w:sz w:val="24"/>
          <w:szCs w:val="24"/>
        </w:rPr>
      </w:pPr>
      <w:r w:rsidRPr="00C378FD">
        <w:rPr>
          <w:rFonts w:ascii="Times New Roman" w:hAnsi="Times New Roman" w:cs="Times New Roman"/>
          <w:sz w:val="24"/>
          <w:szCs w:val="24"/>
        </w:rPr>
        <w:t>Il existe une importante l</w:t>
      </w:r>
      <w:r>
        <w:rPr>
          <w:rFonts w:ascii="Times New Roman" w:hAnsi="Times New Roman" w:cs="Times New Roman"/>
          <w:sz w:val="24"/>
          <w:szCs w:val="24"/>
        </w:rPr>
        <w:t>ittérature traitant de la relation entre le commerce, la croissance et la pauvreté</w:t>
      </w:r>
      <w:r w:rsidR="00504836">
        <w:rPr>
          <w:rFonts w:ascii="Times New Roman" w:hAnsi="Times New Roman" w:cs="Times New Roman"/>
          <w:sz w:val="24"/>
          <w:szCs w:val="24"/>
        </w:rPr>
        <w:t xml:space="preserve"> : il y a des évidences suggérant </w:t>
      </w:r>
      <w:r w:rsidR="001D6CC6">
        <w:rPr>
          <w:rFonts w:ascii="Times New Roman" w:hAnsi="Times New Roman" w:cs="Times New Roman"/>
          <w:sz w:val="24"/>
          <w:szCs w:val="24"/>
        </w:rPr>
        <w:t>qu’une plus grande ouverture commerciale est essentielle pour la croissance économique (</w:t>
      </w:r>
      <w:r w:rsidR="0094663E">
        <w:rPr>
          <w:rFonts w:ascii="Times New Roman" w:hAnsi="Times New Roman" w:cs="Times New Roman"/>
          <w:sz w:val="24"/>
          <w:szCs w:val="24"/>
        </w:rPr>
        <w:t>OECD, 2009</w:t>
      </w:r>
      <w:r w:rsidR="001D6CC6">
        <w:rPr>
          <w:rFonts w:ascii="Times New Roman" w:hAnsi="Times New Roman" w:cs="Times New Roman"/>
          <w:sz w:val="24"/>
          <w:szCs w:val="24"/>
        </w:rPr>
        <w:t>) mais les interactions ne sont pas aussi précises</w:t>
      </w:r>
      <w:r w:rsidR="0098541B">
        <w:rPr>
          <w:rFonts w:ascii="Times New Roman" w:hAnsi="Times New Roman" w:cs="Times New Roman"/>
          <w:sz w:val="24"/>
          <w:szCs w:val="24"/>
        </w:rPr>
        <w:t xml:space="preserve"> (</w:t>
      </w:r>
      <w:proofErr w:type="spellStart"/>
      <w:r w:rsidR="0098541B">
        <w:rPr>
          <w:rFonts w:ascii="Times New Roman" w:hAnsi="Times New Roman" w:cs="Times New Roman"/>
          <w:sz w:val="24"/>
          <w:szCs w:val="24"/>
        </w:rPr>
        <w:t>Basnett</w:t>
      </w:r>
      <w:proofErr w:type="spellEnd"/>
      <w:r w:rsidR="0098541B">
        <w:rPr>
          <w:rFonts w:ascii="Times New Roman" w:hAnsi="Times New Roman" w:cs="Times New Roman"/>
          <w:sz w:val="24"/>
          <w:szCs w:val="24"/>
        </w:rPr>
        <w:t xml:space="preserve"> et </w:t>
      </w:r>
      <w:proofErr w:type="gramStart"/>
      <w:r w:rsidR="0098541B">
        <w:rPr>
          <w:rFonts w:ascii="Times New Roman" w:hAnsi="Times New Roman" w:cs="Times New Roman"/>
          <w:sz w:val="24"/>
          <w:szCs w:val="24"/>
        </w:rPr>
        <w:t>al.,</w:t>
      </w:r>
      <w:proofErr w:type="gramEnd"/>
      <w:r w:rsidR="0098541B">
        <w:rPr>
          <w:rFonts w:ascii="Times New Roman" w:hAnsi="Times New Roman" w:cs="Times New Roman"/>
          <w:sz w:val="24"/>
          <w:szCs w:val="24"/>
        </w:rPr>
        <w:t xml:space="preserve"> 2012</w:t>
      </w:r>
      <w:r w:rsidR="00D30974">
        <w:rPr>
          <w:rFonts w:ascii="Times New Roman" w:hAnsi="Times New Roman" w:cs="Times New Roman"/>
          <w:sz w:val="24"/>
          <w:szCs w:val="24"/>
        </w:rPr>
        <w:t xml:space="preserve"> ; </w:t>
      </w:r>
      <w:proofErr w:type="spellStart"/>
      <w:r w:rsidR="00D30974">
        <w:rPr>
          <w:rFonts w:ascii="Times New Roman" w:hAnsi="Times New Roman" w:cs="Times New Roman"/>
          <w:sz w:val="24"/>
          <w:szCs w:val="24"/>
        </w:rPr>
        <w:t>Hallaert</w:t>
      </w:r>
      <w:proofErr w:type="spellEnd"/>
      <w:r w:rsidR="00D30974">
        <w:rPr>
          <w:rFonts w:ascii="Times New Roman" w:hAnsi="Times New Roman" w:cs="Times New Roman"/>
          <w:sz w:val="24"/>
          <w:szCs w:val="24"/>
        </w:rPr>
        <w:t>, 2010</w:t>
      </w:r>
      <w:r w:rsidR="0098541B">
        <w:rPr>
          <w:rFonts w:ascii="Times New Roman" w:hAnsi="Times New Roman" w:cs="Times New Roman"/>
          <w:sz w:val="24"/>
          <w:szCs w:val="24"/>
        </w:rPr>
        <w:t>)</w:t>
      </w:r>
      <w:r w:rsidR="001D6CC6">
        <w:rPr>
          <w:rFonts w:ascii="Times New Roman" w:hAnsi="Times New Roman" w:cs="Times New Roman"/>
          <w:sz w:val="24"/>
          <w:szCs w:val="24"/>
        </w:rPr>
        <w:t xml:space="preserve">. D’une part, l’ouverture commerciale induit la croissance et celle-ci est nécessaire pour réduire la pauvreté. D’autre part, il est possible que l’intégration économique par le commerce </w:t>
      </w:r>
      <w:r w:rsidR="00372C1F">
        <w:rPr>
          <w:rFonts w:ascii="Times New Roman" w:hAnsi="Times New Roman" w:cs="Times New Roman"/>
          <w:sz w:val="24"/>
          <w:szCs w:val="24"/>
        </w:rPr>
        <w:t xml:space="preserve">soit la résultante d’une croissance économique. </w:t>
      </w:r>
      <w:r w:rsidR="00372C1F" w:rsidRPr="00372C1F">
        <w:rPr>
          <w:rFonts w:ascii="Times New Roman" w:hAnsi="Times New Roman" w:cs="Times New Roman"/>
          <w:sz w:val="24"/>
          <w:szCs w:val="24"/>
        </w:rPr>
        <w:t>Le sens de causalité entre les différentes variables n’est d</w:t>
      </w:r>
      <w:r w:rsidR="00372C1F">
        <w:rPr>
          <w:rFonts w:ascii="Times New Roman" w:hAnsi="Times New Roman" w:cs="Times New Roman"/>
          <w:sz w:val="24"/>
          <w:szCs w:val="24"/>
        </w:rPr>
        <w:t xml:space="preserve">onc pas déterminé a priori : ainsi, une dynamique de croissance inclusive est favorable à l’ouverture commerciale mais aussi, l’intégration économique peut </w:t>
      </w:r>
      <w:r w:rsidR="006B17F2">
        <w:rPr>
          <w:rFonts w:ascii="Times New Roman" w:hAnsi="Times New Roman" w:cs="Times New Roman"/>
          <w:sz w:val="24"/>
          <w:szCs w:val="24"/>
        </w:rPr>
        <w:t xml:space="preserve">faciliter l’accès aux marchés. </w:t>
      </w:r>
      <w:r w:rsidR="006B17F2" w:rsidRPr="006B17F2">
        <w:rPr>
          <w:rFonts w:ascii="Times New Roman" w:hAnsi="Times New Roman" w:cs="Times New Roman"/>
          <w:sz w:val="24"/>
          <w:szCs w:val="24"/>
        </w:rPr>
        <w:t>Par ailleurs, si au niveau agrégé, le lien entre l</w:t>
      </w:r>
      <w:r w:rsidR="006B17F2">
        <w:rPr>
          <w:rFonts w:ascii="Times New Roman" w:hAnsi="Times New Roman" w:cs="Times New Roman"/>
          <w:sz w:val="24"/>
          <w:szCs w:val="24"/>
        </w:rPr>
        <w:t xml:space="preserve">’ouverture commerciale et la croissance, la libéralisation des échanges s’accompagne de gagnants et perdants, limitant l’impact des politiques commerciales en termes de réduction de la  pauvreté et des inégalités. </w:t>
      </w:r>
      <w:r w:rsidR="006B17F2" w:rsidRPr="006B17F2">
        <w:rPr>
          <w:rFonts w:ascii="Times New Roman" w:hAnsi="Times New Roman" w:cs="Times New Roman"/>
          <w:sz w:val="24"/>
          <w:szCs w:val="24"/>
        </w:rPr>
        <w:t>Il y a cependant quelques certitudes sur la façon d</w:t>
      </w:r>
      <w:r w:rsidR="006B17F2">
        <w:rPr>
          <w:rFonts w:ascii="Times New Roman" w:hAnsi="Times New Roman" w:cs="Times New Roman"/>
          <w:sz w:val="24"/>
          <w:szCs w:val="24"/>
        </w:rPr>
        <w:t xml:space="preserve">ont les variations dans les échanges affectent directement ou indirectement la croissance et la pauvreté avec quelques différences </w:t>
      </w:r>
      <w:r w:rsidR="004B1AE1">
        <w:rPr>
          <w:rFonts w:ascii="Times New Roman" w:hAnsi="Times New Roman" w:cs="Times New Roman"/>
          <w:sz w:val="24"/>
          <w:szCs w:val="24"/>
        </w:rPr>
        <w:t>dépendant du contexte, des politiques et réformes incitatives (</w:t>
      </w:r>
      <w:r w:rsidR="004B1AE1" w:rsidRPr="009A31D1">
        <w:rPr>
          <w:rFonts w:ascii="Times New Roman" w:eastAsia="Times New Roman" w:hAnsi="Times New Roman" w:cs="Times New Roman"/>
          <w:sz w:val="24"/>
          <w:szCs w:val="24"/>
        </w:rPr>
        <w:t xml:space="preserve">Higgins et </w:t>
      </w:r>
      <w:proofErr w:type="spellStart"/>
      <w:r w:rsidR="004B1AE1" w:rsidRPr="009A31D1">
        <w:rPr>
          <w:rFonts w:ascii="Times New Roman" w:eastAsia="Times New Roman" w:hAnsi="Times New Roman" w:cs="Times New Roman"/>
          <w:sz w:val="24"/>
          <w:szCs w:val="24"/>
        </w:rPr>
        <w:t>Prowse</w:t>
      </w:r>
      <w:proofErr w:type="spellEnd"/>
      <w:r w:rsidR="004B1AE1">
        <w:rPr>
          <w:rFonts w:ascii="Times New Roman" w:eastAsia="Times New Roman" w:hAnsi="Times New Roman" w:cs="Times New Roman"/>
          <w:sz w:val="24"/>
          <w:szCs w:val="24"/>
        </w:rPr>
        <w:t>,</w:t>
      </w:r>
      <w:r w:rsidR="004B1AE1" w:rsidRPr="009A31D1">
        <w:rPr>
          <w:rFonts w:ascii="Times New Roman" w:eastAsia="Times New Roman" w:hAnsi="Times New Roman" w:cs="Times New Roman"/>
          <w:sz w:val="24"/>
          <w:szCs w:val="24"/>
        </w:rPr>
        <w:t xml:space="preserve"> 2010</w:t>
      </w:r>
      <w:r w:rsidR="004B1AE1">
        <w:rPr>
          <w:rFonts w:ascii="Times New Roman" w:eastAsia="Times New Roman" w:hAnsi="Times New Roman" w:cs="Times New Roman"/>
          <w:sz w:val="24"/>
          <w:szCs w:val="24"/>
        </w:rPr>
        <w:t>). Plus spécifiquement, le challenge concernant l’initiative "aide pour le commerce" est qu’au-delà des effets directs en terme</w:t>
      </w:r>
      <w:r w:rsidR="005819C3">
        <w:rPr>
          <w:rFonts w:ascii="Times New Roman" w:eastAsia="Times New Roman" w:hAnsi="Times New Roman" w:cs="Times New Roman"/>
          <w:sz w:val="24"/>
          <w:szCs w:val="24"/>
        </w:rPr>
        <w:t>s</w:t>
      </w:r>
      <w:r w:rsidR="004B1AE1">
        <w:rPr>
          <w:rFonts w:ascii="Times New Roman" w:eastAsia="Times New Roman" w:hAnsi="Times New Roman" w:cs="Times New Roman"/>
          <w:sz w:val="24"/>
          <w:szCs w:val="24"/>
        </w:rPr>
        <w:t xml:space="preserve"> d’accroissement de volume des échanges, les effets indirects puissent adresser </w:t>
      </w:r>
      <w:r w:rsidR="007A40EF">
        <w:rPr>
          <w:rFonts w:ascii="Times New Roman" w:eastAsia="Times New Roman" w:hAnsi="Times New Roman" w:cs="Times New Roman"/>
          <w:sz w:val="24"/>
          <w:szCs w:val="24"/>
        </w:rPr>
        <w:t xml:space="preserve">à long terme, </w:t>
      </w:r>
      <w:r w:rsidR="004B1AE1">
        <w:rPr>
          <w:rFonts w:ascii="Times New Roman" w:eastAsia="Times New Roman" w:hAnsi="Times New Roman" w:cs="Times New Roman"/>
          <w:sz w:val="24"/>
          <w:szCs w:val="24"/>
        </w:rPr>
        <w:t>la problématique de croissance inclusive</w:t>
      </w:r>
      <w:r w:rsidR="007A40EF">
        <w:rPr>
          <w:rFonts w:ascii="Times New Roman" w:eastAsia="Times New Roman" w:hAnsi="Times New Roman" w:cs="Times New Roman"/>
          <w:sz w:val="24"/>
          <w:szCs w:val="24"/>
        </w:rPr>
        <w:t xml:space="preserve"> et</w:t>
      </w:r>
      <w:r w:rsidR="004B1AE1">
        <w:rPr>
          <w:rFonts w:ascii="Times New Roman" w:eastAsia="Times New Roman" w:hAnsi="Times New Roman" w:cs="Times New Roman"/>
          <w:sz w:val="24"/>
          <w:szCs w:val="24"/>
        </w:rPr>
        <w:t xml:space="preserve"> de réduction de la pauvreté</w:t>
      </w:r>
      <w:r w:rsidR="007A40EF">
        <w:rPr>
          <w:rFonts w:ascii="Times New Roman" w:eastAsia="Times New Roman" w:hAnsi="Times New Roman" w:cs="Times New Roman"/>
          <w:sz w:val="24"/>
          <w:szCs w:val="24"/>
        </w:rPr>
        <w:t>. A cette fin, aussi bien le contexte que les facteurs institutionnels sont des éléments centraux.</w:t>
      </w:r>
    </w:p>
    <w:p w:rsidR="004B1AE1" w:rsidRPr="004B1AE1" w:rsidRDefault="004B1AE1" w:rsidP="007318B8">
      <w:pPr>
        <w:spacing w:before="120" w:after="120"/>
        <w:jc w:val="both"/>
        <w:rPr>
          <w:rFonts w:ascii="Times New Roman" w:hAnsi="Times New Roman" w:cs="Times New Roman"/>
          <w:sz w:val="24"/>
          <w:szCs w:val="24"/>
        </w:rPr>
      </w:pPr>
    </w:p>
    <w:p w:rsidR="00033397" w:rsidRPr="00377708" w:rsidRDefault="00377708" w:rsidP="007318B8">
      <w:pPr>
        <w:spacing w:before="120" w:after="120"/>
        <w:jc w:val="both"/>
        <w:rPr>
          <w:rFonts w:ascii="Times New Roman" w:hAnsi="Times New Roman" w:cs="Times New Roman"/>
          <w:b/>
          <w:i/>
          <w:sz w:val="24"/>
          <w:szCs w:val="24"/>
        </w:rPr>
      </w:pPr>
      <w:r w:rsidRPr="00377708">
        <w:rPr>
          <w:rFonts w:ascii="Times New Roman" w:hAnsi="Times New Roman" w:cs="Times New Roman"/>
          <w:b/>
          <w:i/>
          <w:sz w:val="24"/>
          <w:szCs w:val="24"/>
        </w:rPr>
        <w:lastRenderedPageBreak/>
        <w:t>"A</w:t>
      </w:r>
      <w:r w:rsidR="00033397" w:rsidRPr="00377708">
        <w:rPr>
          <w:rFonts w:ascii="Times New Roman" w:hAnsi="Times New Roman" w:cs="Times New Roman"/>
          <w:b/>
          <w:i/>
          <w:sz w:val="24"/>
          <w:szCs w:val="24"/>
        </w:rPr>
        <w:t xml:space="preserve">ide pour </w:t>
      </w:r>
      <w:r w:rsidRPr="00377708">
        <w:rPr>
          <w:rFonts w:ascii="Times New Roman" w:hAnsi="Times New Roman" w:cs="Times New Roman"/>
          <w:b/>
          <w:i/>
          <w:sz w:val="24"/>
          <w:szCs w:val="24"/>
        </w:rPr>
        <w:t xml:space="preserve">le </w:t>
      </w:r>
      <w:r w:rsidR="00033397" w:rsidRPr="00377708">
        <w:rPr>
          <w:rFonts w:ascii="Times New Roman" w:hAnsi="Times New Roman" w:cs="Times New Roman"/>
          <w:b/>
          <w:i/>
          <w:sz w:val="24"/>
          <w:szCs w:val="24"/>
        </w:rPr>
        <w:t>commerce</w:t>
      </w:r>
      <w:r w:rsidRPr="00377708">
        <w:rPr>
          <w:rFonts w:ascii="Times New Roman" w:hAnsi="Times New Roman" w:cs="Times New Roman"/>
          <w:b/>
          <w:i/>
          <w:sz w:val="24"/>
          <w:szCs w:val="24"/>
        </w:rPr>
        <w:t>"</w:t>
      </w:r>
      <w:r w:rsidR="00033397" w:rsidRPr="00377708">
        <w:rPr>
          <w:rFonts w:ascii="Times New Roman" w:hAnsi="Times New Roman" w:cs="Times New Roman"/>
          <w:b/>
          <w:i/>
          <w:sz w:val="24"/>
          <w:szCs w:val="24"/>
        </w:rPr>
        <w:t> : arguments théoriques et effets réels</w:t>
      </w:r>
    </w:p>
    <w:p w:rsidR="00F42AD1" w:rsidRDefault="00137E9A" w:rsidP="007318B8">
      <w:pPr>
        <w:spacing w:before="120" w:after="120"/>
        <w:jc w:val="both"/>
        <w:rPr>
          <w:rFonts w:ascii="Times New Roman" w:hAnsi="Times New Roman" w:cs="Times New Roman"/>
          <w:sz w:val="24"/>
          <w:szCs w:val="24"/>
        </w:rPr>
      </w:pPr>
      <w:r w:rsidRPr="002B3846">
        <w:rPr>
          <w:rFonts w:ascii="Times New Roman" w:hAnsi="Times New Roman" w:cs="Times New Roman"/>
          <w:sz w:val="24"/>
          <w:szCs w:val="24"/>
        </w:rPr>
        <w:t>Adressant l’impact</w:t>
      </w:r>
      <w:r>
        <w:rPr>
          <w:rFonts w:ascii="Times New Roman" w:hAnsi="Times New Roman" w:cs="Times New Roman"/>
          <w:sz w:val="24"/>
          <w:szCs w:val="24"/>
        </w:rPr>
        <w:t xml:space="preserve"> négatif</w:t>
      </w:r>
      <w:r w:rsidRPr="002B3846">
        <w:rPr>
          <w:rFonts w:ascii="Times New Roman" w:hAnsi="Times New Roman" w:cs="Times New Roman"/>
          <w:sz w:val="24"/>
          <w:szCs w:val="24"/>
        </w:rPr>
        <w:t xml:space="preserve"> de la c</w:t>
      </w:r>
      <w:r>
        <w:rPr>
          <w:rFonts w:ascii="Times New Roman" w:hAnsi="Times New Roman" w:cs="Times New Roman"/>
          <w:sz w:val="24"/>
          <w:szCs w:val="24"/>
        </w:rPr>
        <w:t xml:space="preserve">rise économique et financière sur le programme aide pour le commerce, WTO et OECD (2009) rappellent la nécessité de maintenir les engagements : l’aide pour le commerce devrait davantage soutenir les politiques de croissance et de réduction de la pauvreté dans les pays en développement en levant les contraintes à l’échange et diversifiant les sources de croissance économique. </w:t>
      </w:r>
      <w:r w:rsidR="00F42AD1">
        <w:rPr>
          <w:rFonts w:ascii="Times New Roman" w:hAnsi="Times New Roman" w:cs="Times New Roman"/>
          <w:sz w:val="24"/>
          <w:szCs w:val="24"/>
        </w:rPr>
        <w:t xml:space="preserve">S’inspirant de </w:t>
      </w:r>
      <w:proofErr w:type="spellStart"/>
      <w:r w:rsidR="00F42AD1" w:rsidRPr="00F42AD1">
        <w:rPr>
          <w:rFonts w:ascii="Times New Roman" w:hAnsi="Times New Roman" w:cs="Times New Roman"/>
          <w:sz w:val="24"/>
          <w:szCs w:val="24"/>
        </w:rPr>
        <w:t>McCulloch</w:t>
      </w:r>
      <w:proofErr w:type="spellEnd"/>
      <w:r w:rsidR="00F42AD1" w:rsidRPr="009A31D1">
        <w:rPr>
          <w:rFonts w:ascii="Times New Roman" w:eastAsia="Times New Roman" w:hAnsi="Times New Roman" w:cs="Times New Roman"/>
          <w:sz w:val="24"/>
          <w:szCs w:val="24"/>
        </w:rPr>
        <w:t xml:space="preserve"> </w:t>
      </w:r>
      <w:r w:rsidR="00F42AD1">
        <w:rPr>
          <w:rFonts w:ascii="Times New Roman" w:eastAsia="Times New Roman" w:hAnsi="Times New Roman" w:cs="Times New Roman"/>
          <w:sz w:val="24"/>
          <w:szCs w:val="24"/>
        </w:rPr>
        <w:t xml:space="preserve">et al. (2001), </w:t>
      </w:r>
      <w:r w:rsidR="00F42AD1" w:rsidRPr="009A31D1">
        <w:rPr>
          <w:rFonts w:ascii="Times New Roman" w:eastAsia="Times New Roman" w:hAnsi="Times New Roman" w:cs="Times New Roman"/>
          <w:sz w:val="24"/>
          <w:szCs w:val="24"/>
        </w:rPr>
        <w:t xml:space="preserve">Higgins et </w:t>
      </w:r>
      <w:proofErr w:type="spellStart"/>
      <w:r w:rsidR="00F42AD1" w:rsidRPr="009A31D1">
        <w:rPr>
          <w:rFonts w:ascii="Times New Roman" w:eastAsia="Times New Roman" w:hAnsi="Times New Roman" w:cs="Times New Roman"/>
          <w:sz w:val="24"/>
          <w:szCs w:val="24"/>
        </w:rPr>
        <w:t>Prowse</w:t>
      </w:r>
      <w:proofErr w:type="spellEnd"/>
      <w:r w:rsidR="00F42AD1" w:rsidRPr="009A31D1">
        <w:rPr>
          <w:rFonts w:ascii="Times New Roman" w:eastAsia="Times New Roman" w:hAnsi="Times New Roman" w:cs="Times New Roman"/>
          <w:sz w:val="24"/>
          <w:szCs w:val="24"/>
        </w:rPr>
        <w:t xml:space="preserve"> </w:t>
      </w:r>
      <w:r w:rsidR="00F42AD1">
        <w:rPr>
          <w:rFonts w:ascii="Times New Roman" w:eastAsia="Times New Roman" w:hAnsi="Times New Roman" w:cs="Times New Roman"/>
          <w:sz w:val="24"/>
          <w:szCs w:val="24"/>
        </w:rPr>
        <w:t>(</w:t>
      </w:r>
      <w:r w:rsidR="00F42AD1" w:rsidRPr="009A31D1">
        <w:rPr>
          <w:rFonts w:ascii="Times New Roman" w:eastAsia="Times New Roman" w:hAnsi="Times New Roman" w:cs="Times New Roman"/>
          <w:sz w:val="24"/>
          <w:szCs w:val="24"/>
        </w:rPr>
        <w:t>2010</w:t>
      </w:r>
      <w:r w:rsidR="00F42AD1">
        <w:rPr>
          <w:rFonts w:ascii="Times New Roman" w:eastAsia="Times New Roman" w:hAnsi="Times New Roman" w:cs="Times New Roman"/>
          <w:sz w:val="24"/>
          <w:szCs w:val="24"/>
        </w:rPr>
        <w:t xml:space="preserve">) distinguent trois canaux de transmission. Le canal de distribution dérive des impacts des politiques de facilitation des échanges sur les prix des biens et services, étant donné la réduction des coûts : dépendamment d’autres facteurs (prix mondiaux, termes de l’échange, taxes et coûts des facteurs), le bien-être des populations sera affecté. Le canal de l’entreprise traduit la réaction des producteurs à travers les salaires, les profits et l’emploi : </w:t>
      </w:r>
      <w:r w:rsidR="00D42554">
        <w:rPr>
          <w:rFonts w:ascii="Times New Roman" w:eastAsia="Times New Roman" w:hAnsi="Times New Roman" w:cs="Times New Roman"/>
          <w:sz w:val="24"/>
          <w:szCs w:val="24"/>
        </w:rPr>
        <w:t xml:space="preserve">à titre d’exemple, </w:t>
      </w:r>
      <w:r w:rsidR="00F42AD1">
        <w:rPr>
          <w:rFonts w:ascii="Times New Roman" w:eastAsia="Times New Roman" w:hAnsi="Times New Roman" w:cs="Times New Roman"/>
          <w:sz w:val="24"/>
          <w:szCs w:val="24"/>
        </w:rPr>
        <w:t xml:space="preserve">des </w:t>
      </w:r>
      <w:r w:rsidR="00D42554">
        <w:rPr>
          <w:rFonts w:ascii="Times New Roman" w:eastAsia="Times New Roman" w:hAnsi="Times New Roman" w:cs="Times New Roman"/>
          <w:sz w:val="24"/>
          <w:szCs w:val="24"/>
        </w:rPr>
        <w:t>facilités d’</w:t>
      </w:r>
      <w:r w:rsidR="00F42AD1">
        <w:rPr>
          <w:rFonts w:ascii="Times New Roman" w:eastAsia="Times New Roman" w:hAnsi="Times New Roman" w:cs="Times New Roman"/>
          <w:sz w:val="24"/>
          <w:szCs w:val="24"/>
        </w:rPr>
        <w:t>importat</w:t>
      </w:r>
      <w:r w:rsidR="00D42554">
        <w:rPr>
          <w:rFonts w:ascii="Times New Roman" w:eastAsia="Times New Roman" w:hAnsi="Times New Roman" w:cs="Times New Roman"/>
          <w:sz w:val="24"/>
          <w:szCs w:val="24"/>
        </w:rPr>
        <w:t>ion peuvent rendre moins compétitives les produits concurrents domestiques avec des effets négatifs sur la demande, l’emploi et les salaires.</w:t>
      </w:r>
      <w:r w:rsidR="00F42AD1">
        <w:rPr>
          <w:rFonts w:ascii="Times New Roman" w:eastAsia="Times New Roman" w:hAnsi="Times New Roman" w:cs="Times New Roman"/>
          <w:sz w:val="24"/>
          <w:szCs w:val="24"/>
        </w:rPr>
        <w:t xml:space="preserve"> </w:t>
      </w:r>
      <w:r w:rsidR="00D42554">
        <w:rPr>
          <w:rFonts w:ascii="Times New Roman" w:eastAsia="Times New Roman" w:hAnsi="Times New Roman" w:cs="Times New Roman"/>
          <w:sz w:val="24"/>
          <w:szCs w:val="24"/>
        </w:rPr>
        <w:t>Enfin, le canal du gouvernement résulte des variations dans les taxes et les transferts : consécutivement à une politique tarifaire, les ressources publiques peuvent augmenter ou baisser avec des effets expansifs ou dépressifs sur les dépenses publiques en infrastructures, en éducation, en santé et en protection sociale.</w:t>
      </w:r>
    </w:p>
    <w:p w:rsidR="00280711" w:rsidRDefault="000D7009" w:rsidP="005B4443">
      <w:pPr>
        <w:spacing w:before="120" w:after="120"/>
        <w:jc w:val="both"/>
        <w:rPr>
          <w:rFonts w:ascii="Times New Roman" w:hAnsi="Times New Roman" w:cs="Times New Roman"/>
          <w:sz w:val="24"/>
        </w:rPr>
      </w:pPr>
      <w:proofErr w:type="spellStart"/>
      <w:r w:rsidRPr="000D7009">
        <w:rPr>
          <w:rFonts w:ascii="Times New Roman" w:hAnsi="Times New Roman" w:cs="Times New Roman"/>
          <w:sz w:val="24"/>
        </w:rPr>
        <w:t>Vijil</w:t>
      </w:r>
      <w:proofErr w:type="spellEnd"/>
      <w:r w:rsidRPr="000D7009">
        <w:rPr>
          <w:rFonts w:ascii="Times New Roman" w:hAnsi="Times New Roman" w:cs="Times New Roman"/>
          <w:sz w:val="24"/>
        </w:rPr>
        <w:t xml:space="preserve"> </w:t>
      </w:r>
      <w:r w:rsidR="005819C3">
        <w:rPr>
          <w:rFonts w:ascii="Times New Roman" w:hAnsi="Times New Roman" w:cs="Times New Roman"/>
          <w:sz w:val="24"/>
        </w:rPr>
        <w:t>et</w:t>
      </w:r>
      <w:r w:rsidRPr="000D7009">
        <w:rPr>
          <w:rFonts w:ascii="Times New Roman" w:hAnsi="Times New Roman" w:cs="Times New Roman"/>
          <w:sz w:val="24"/>
        </w:rPr>
        <w:t xml:space="preserve"> Wagner (2010) considèrent </w:t>
      </w:r>
      <w:r>
        <w:rPr>
          <w:rFonts w:ascii="Times New Roman" w:hAnsi="Times New Roman" w:cs="Times New Roman"/>
          <w:sz w:val="24"/>
        </w:rPr>
        <w:t xml:space="preserve">deux canaux : celui </w:t>
      </w:r>
      <w:r w:rsidRPr="000D7009">
        <w:rPr>
          <w:rFonts w:ascii="Times New Roman" w:hAnsi="Times New Roman" w:cs="Times New Roman"/>
          <w:sz w:val="24"/>
        </w:rPr>
        <w:t>des ins</w:t>
      </w:r>
      <w:r>
        <w:rPr>
          <w:rFonts w:ascii="Times New Roman" w:hAnsi="Times New Roman" w:cs="Times New Roman"/>
          <w:sz w:val="24"/>
        </w:rPr>
        <w:t xml:space="preserve">titutions et celui des infrastructures. Ils montrent que si les infrastructures sont apparues </w:t>
      </w:r>
      <w:r w:rsidR="00E06D25">
        <w:rPr>
          <w:rFonts w:ascii="Times New Roman" w:hAnsi="Times New Roman" w:cs="Times New Roman"/>
          <w:sz w:val="24"/>
        </w:rPr>
        <w:t xml:space="preserve">significativement déterminantes </w:t>
      </w:r>
      <w:r>
        <w:rPr>
          <w:rFonts w:ascii="Times New Roman" w:hAnsi="Times New Roman" w:cs="Times New Roman"/>
          <w:sz w:val="24"/>
        </w:rPr>
        <w:t xml:space="preserve">de la performance </w:t>
      </w:r>
      <w:r w:rsidR="00183E71">
        <w:rPr>
          <w:rFonts w:ascii="Times New Roman" w:hAnsi="Times New Roman" w:cs="Times New Roman"/>
          <w:sz w:val="24"/>
        </w:rPr>
        <w:t>à</w:t>
      </w:r>
      <w:r>
        <w:rPr>
          <w:rFonts w:ascii="Times New Roman" w:hAnsi="Times New Roman" w:cs="Times New Roman"/>
          <w:sz w:val="24"/>
        </w:rPr>
        <w:t xml:space="preserve"> </w:t>
      </w:r>
      <w:r w:rsidR="00183E71">
        <w:rPr>
          <w:rFonts w:ascii="Times New Roman" w:hAnsi="Times New Roman" w:cs="Times New Roman"/>
          <w:sz w:val="24"/>
        </w:rPr>
        <w:t>l’e</w:t>
      </w:r>
      <w:r>
        <w:rPr>
          <w:rFonts w:ascii="Times New Roman" w:hAnsi="Times New Roman" w:cs="Times New Roman"/>
          <w:sz w:val="24"/>
        </w:rPr>
        <w:t>xportation</w:t>
      </w:r>
      <w:r w:rsidR="00E06D25">
        <w:rPr>
          <w:rFonts w:ascii="Times New Roman" w:hAnsi="Times New Roman" w:cs="Times New Roman"/>
          <w:sz w:val="24"/>
        </w:rPr>
        <w:t>, l</w:t>
      </w:r>
      <w:r w:rsidR="00183E71">
        <w:rPr>
          <w:rFonts w:ascii="Times New Roman" w:hAnsi="Times New Roman" w:cs="Times New Roman"/>
          <w:sz w:val="24"/>
        </w:rPr>
        <w:t>a qualité d</w:t>
      </w:r>
      <w:r w:rsidR="00E06D25">
        <w:rPr>
          <w:rFonts w:ascii="Times New Roman" w:hAnsi="Times New Roman" w:cs="Times New Roman"/>
          <w:sz w:val="24"/>
        </w:rPr>
        <w:t xml:space="preserve">es institutions </w:t>
      </w:r>
      <w:r w:rsidR="00183E71">
        <w:rPr>
          <w:rFonts w:ascii="Times New Roman" w:hAnsi="Times New Roman" w:cs="Times New Roman"/>
          <w:sz w:val="24"/>
        </w:rPr>
        <w:t xml:space="preserve">s’avère avoir </w:t>
      </w:r>
      <w:r w:rsidR="00E06D25">
        <w:rPr>
          <w:rFonts w:ascii="Times New Roman" w:hAnsi="Times New Roman" w:cs="Times New Roman"/>
          <w:sz w:val="24"/>
        </w:rPr>
        <w:t>un impact assez limité sur les exportations des pays en développement</w:t>
      </w:r>
      <w:r>
        <w:rPr>
          <w:rFonts w:ascii="Times New Roman" w:hAnsi="Times New Roman" w:cs="Times New Roman"/>
          <w:sz w:val="24"/>
        </w:rPr>
        <w:t>.</w:t>
      </w:r>
      <w:r w:rsidR="00E06D25">
        <w:rPr>
          <w:rFonts w:ascii="Times New Roman" w:hAnsi="Times New Roman" w:cs="Times New Roman"/>
          <w:sz w:val="24"/>
        </w:rPr>
        <w:t xml:space="preserve"> </w:t>
      </w:r>
      <w:r w:rsidR="00E06D25" w:rsidRPr="00E06D25">
        <w:rPr>
          <w:rFonts w:ascii="Times New Roman" w:hAnsi="Times New Roman" w:cs="Times New Roman"/>
          <w:sz w:val="24"/>
        </w:rPr>
        <w:t>Aussi, l’aide pour le commerce orienté vers les infrastructures a</w:t>
      </w:r>
      <w:r w:rsidR="00E06D25">
        <w:rPr>
          <w:rFonts w:ascii="Times New Roman" w:hAnsi="Times New Roman" w:cs="Times New Roman"/>
          <w:sz w:val="24"/>
        </w:rPr>
        <w:t xml:space="preserve"> un impact positif sur le niveau et la capacité infrastructurels des pays en développement : 10% d’accroissement de l’aide </w:t>
      </w:r>
      <w:r w:rsidR="00183E71">
        <w:rPr>
          <w:rFonts w:ascii="Times New Roman" w:hAnsi="Times New Roman" w:cs="Times New Roman"/>
          <w:sz w:val="24"/>
        </w:rPr>
        <w:t xml:space="preserve">aux </w:t>
      </w:r>
      <w:r w:rsidR="00E06D25">
        <w:rPr>
          <w:rFonts w:ascii="Times New Roman" w:hAnsi="Times New Roman" w:cs="Times New Roman"/>
          <w:sz w:val="24"/>
        </w:rPr>
        <w:t>infrastructure</w:t>
      </w:r>
      <w:r w:rsidR="00183E71">
        <w:rPr>
          <w:rFonts w:ascii="Times New Roman" w:hAnsi="Times New Roman" w:cs="Times New Roman"/>
          <w:sz w:val="24"/>
        </w:rPr>
        <w:t>s par habitant</w:t>
      </w:r>
      <w:r w:rsidR="00E06D25">
        <w:rPr>
          <w:rFonts w:ascii="Times New Roman" w:hAnsi="Times New Roman" w:cs="Times New Roman"/>
          <w:sz w:val="24"/>
        </w:rPr>
        <w:t xml:space="preserve"> induit en moyenne 2.34% d’accroissement des exportations rapportées au P</w:t>
      </w:r>
      <w:r w:rsidR="005819C3">
        <w:rPr>
          <w:rFonts w:ascii="Times New Roman" w:hAnsi="Times New Roman" w:cs="Times New Roman"/>
          <w:sz w:val="24"/>
        </w:rPr>
        <w:t>IB</w:t>
      </w:r>
      <w:r w:rsidR="00E06D25">
        <w:rPr>
          <w:rFonts w:ascii="Times New Roman" w:hAnsi="Times New Roman" w:cs="Times New Roman"/>
          <w:sz w:val="24"/>
        </w:rPr>
        <w:t xml:space="preserve">. </w:t>
      </w:r>
      <w:r w:rsidR="00E06D25" w:rsidRPr="00E06D25">
        <w:rPr>
          <w:rFonts w:ascii="Times New Roman" w:hAnsi="Times New Roman" w:cs="Times New Roman"/>
          <w:sz w:val="24"/>
        </w:rPr>
        <w:t xml:space="preserve">Ceci est par ailleurs </w:t>
      </w:r>
      <w:r w:rsidR="00183E71">
        <w:rPr>
          <w:rFonts w:ascii="Times New Roman" w:hAnsi="Times New Roman" w:cs="Times New Roman"/>
          <w:sz w:val="24"/>
        </w:rPr>
        <w:t>é</w:t>
      </w:r>
      <w:r w:rsidR="00E06D25" w:rsidRPr="00E06D25">
        <w:rPr>
          <w:rFonts w:ascii="Times New Roman" w:hAnsi="Times New Roman" w:cs="Times New Roman"/>
          <w:sz w:val="24"/>
        </w:rPr>
        <w:t>quivalent à une r</w:t>
      </w:r>
      <w:r w:rsidR="00183E71">
        <w:rPr>
          <w:rFonts w:ascii="Times New Roman" w:hAnsi="Times New Roman" w:cs="Times New Roman"/>
          <w:sz w:val="24"/>
        </w:rPr>
        <w:t>é</w:t>
      </w:r>
      <w:r w:rsidR="00E06D25" w:rsidRPr="00E06D25">
        <w:rPr>
          <w:rFonts w:ascii="Times New Roman" w:hAnsi="Times New Roman" w:cs="Times New Roman"/>
          <w:sz w:val="24"/>
        </w:rPr>
        <w:t>duction de 2.71% d</w:t>
      </w:r>
      <w:r w:rsidR="00E06D25">
        <w:rPr>
          <w:rFonts w:ascii="Times New Roman" w:hAnsi="Times New Roman" w:cs="Times New Roman"/>
          <w:sz w:val="24"/>
        </w:rPr>
        <w:t>ans les barrières tarifaires et non tarifaires, attestant d’un important impact économique de l’aide pour le commerce à travers le canal des infrastructures.</w:t>
      </w:r>
      <w:r w:rsidR="00523010">
        <w:rPr>
          <w:rFonts w:ascii="Times New Roman" w:hAnsi="Times New Roman" w:cs="Times New Roman"/>
          <w:sz w:val="24"/>
        </w:rPr>
        <w:t xml:space="preserve"> </w:t>
      </w:r>
    </w:p>
    <w:p w:rsidR="005B4443" w:rsidRDefault="005B4443" w:rsidP="005B4443">
      <w:pPr>
        <w:spacing w:before="120" w:after="120"/>
        <w:jc w:val="both"/>
        <w:rPr>
          <w:rFonts w:ascii="Times New Roman" w:hAnsi="Times New Roman" w:cs="Times New Roman"/>
          <w:sz w:val="24"/>
        </w:rPr>
      </w:pPr>
      <w:proofErr w:type="spellStart"/>
      <w:r w:rsidRPr="00F744D0">
        <w:rPr>
          <w:rFonts w:ascii="Times New Roman" w:hAnsi="Times New Roman" w:cs="Times New Roman"/>
          <w:sz w:val="24"/>
        </w:rPr>
        <w:t>Basnett</w:t>
      </w:r>
      <w:proofErr w:type="spellEnd"/>
      <w:r w:rsidRPr="00F744D0">
        <w:rPr>
          <w:rFonts w:ascii="Times New Roman" w:hAnsi="Times New Roman" w:cs="Times New Roman"/>
          <w:sz w:val="24"/>
        </w:rPr>
        <w:t xml:space="preserve"> et al. (2012) aboutissent aux mêmes conclusions av</w:t>
      </w:r>
      <w:r>
        <w:rPr>
          <w:rFonts w:ascii="Times New Roman" w:hAnsi="Times New Roman" w:cs="Times New Roman"/>
          <w:sz w:val="24"/>
        </w:rPr>
        <w:t xml:space="preserve">ec plus de généralités sur l’impact de l’aide pour le commerce dans la facilitation des échanges et les infrastructures sur les exportations. </w:t>
      </w:r>
      <w:r w:rsidRPr="003B3A40">
        <w:rPr>
          <w:rFonts w:ascii="Times New Roman" w:hAnsi="Times New Roman" w:cs="Times New Roman"/>
          <w:sz w:val="24"/>
        </w:rPr>
        <w:t>10% d’accroissement de l’aide pour le commerce dans les infrastructures co</w:t>
      </w:r>
      <w:r>
        <w:rPr>
          <w:rFonts w:ascii="Times New Roman" w:hAnsi="Times New Roman" w:cs="Times New Roman"/>
          <w:sz w:val="24"/>
        </w:rPr>
        <w:t>ntribue à augmenter les exportations rapportées au P</w:t>
      </w:r>
      <w:r w:rsidR="005819C3">
        <w:rPr>
          <w:rFonts w:ascii="Times New Roman" w:hAnsi="Times New Roman" w:cs="Times New Roman"/>
          <w:sz w:val="24"/>
        </w:rPr>
        <w:t>IB</w:t>
      </w:r>
      <w:r>
        <w:rPr>
          <w:rFonts w:ascii="Times New Roman" w:hAnsi="Times New Roman" w:cs="Times New Roman"/>
          <w:sz w:val="24"/>
        </w:rPr>
        <w:t xml:space="preserve"> de l’ordre de 2.3%. Par ailleurs, les auteurs mettent en évidence pour les pays en développement, l’impact significatif des réformes sur la réduction des coûts à l’échange, avec des performances économiques en termes d’exportation, de produit intérieur ou d’amélioration de l’environnement des investissements. Cependant, ces différents effets peuvent varier considérablement en fonction du type d’intervention, des pays et du secteur bénéficiaires. </w:t>
      </w:r>
      <w:proofErr w:type="spellStart"/>
      <w:r w:rsidR="00185119">
        <w:rPr>
          <w:rFonts w:ascii="Times New Roman" w:hAnsi="Times New Roman" w:cs="Times New Roman"/>
          <w:sz w:val="24"/>
        </w:rPr>
        <w:t>Helble</w:t>
      </w:r>
      <w:proofErr w:type="spellEnd"/>
      <w:r w:rsidR="00185119">
        <w:rPr>
          <w:rFonts w:ascii="Times New Roman" w:hAnsi="Times New Roman" w:cs="Times New Roman"/>
          <w:sz w:val="24"/>
        </w:rPr>
        <w:t xml:space="preserve"> et al. (2009) estime le taux de rendement d’un dollar d’aide dans l’ordre de 697 dollars induit par le commerce dans les PMA. </w:t>
      </w:r>
      <w:r>
        <w:rPr>
          <w:rFonts w:ascii="Times New Roman" w:hAnsi="Times New Roman" w:cs="Times New Roman"/>
          <w:sz w:val="24"/>
        </w:rPr>
        <w:t xml:space="preserve">Sur un échantillon de 184 pays pour la période 1990-2005, </w:t>
      </w:r>
      <w:proofErr w:type="spellStart"/>
      <w:r w:rsidRPr="003053A0">
        <w:rPr>
          <w:rFonts w:ascii="Times New Roman" w:hAnsi="Times New Roman" w:cs="Times New Roman"/>
          <w:sz w:val="24"/>
        </w:rPr>
        <w:t>Johansson</w:t>
      </w:r>
      <w:proofErr w:type="spellEnd"/>
      <w:r w:rsidRPr="003053A0">
        <w:rPr>
          <w:rFonts w:ascii="Times New Roman" w:hAnsi="Times New Roman" w:cs="Times New Roman"/>
          <w:sz w:val="24"/>
        </w:rPr>
        <w:t xml:space="preserve"> </w:t>
      </w:r>
      <w:r>
        <w:rPr>
          <w:rFonts w:ascii="Times New Roman" w:hAnsi="Times New Roman" w:cs="Times New Roman"/>
          <w:sz w:val="24"/>
        </w:rPr>
        <w:t>et</w:t>
      </w:r>
      <w:r w:rsidRPr="003053A0">
        <w:rPr>
          <w:rFonts w:ascii="Times New Roman" w:hAnsi="Times New Roman" w:cs="Times New Roman"/>
          <w:sz w:val="24"/>
        </w:rPr>
        <w:t xml:space="preserve"> </w:t>
      </w:r>
      <w:proofErr w:type="spellStart"/>
      <w:r w:rsidRPr="003053A0">
        <w:rPr>
          <w:rFonts w:ascii="Times New Roman" w:hAnsi="Times New Roman" w:cs="Times New Roman"/>
          <w:sz w:val="24"/>
        </w:rPr>
        <w:t>Pettersson</w:t>
      </w:r>
      <w:proofErr w:type="spellEnd"/>
      <w:r w:rsidRPr="003053A0">
        <w:rPr>
          <w:rFonts w:ascii="Times New Roman" w:hAnsi="Times New Roman" w:cs="Times New Roman"/>
          <w:sz w:val="24"/>
        </w:rPr>
        <w:t xml:space="preserve"> (2009)</w:t>
      </w:r>
      <w:r>
        <w:rPr>
          <w:rFonts w:ascii="Times New Roman" w:hAnsi="Times New Roman" w:cs="Times New Roman"/>
          <w:sz w:val="24"/>
        </w:rPr>
        <w:t xml:space="preserve"> parviennent aux mêmes résultats à la fois pour le donateur que pour le bénéficiaire, l’aide étant considérée dans sa globalité, orientée vers l’assistance technique et les capacités à l’exportation : l’effet spécifique de l’aide pour le commerce liée aux infrastructures d’échanges est moins significatif.</w:t>
      </w:r>
    </w:p>
    <w:p w:rsidR="00DF1EF1" w:rsidRDefault="00523010" w:rsidP="00DF1EF1">
      <w:pPr>
        <w:spacing w:before="120" w:after="120"/>
        <w:jc w:val="both"/>
        <w:rPr>
          <w:rFonts w:ascii="Times New Roman" w:hAnsi="Times New Roman" w:cs="Times New Roman"/>
          <w:sz w:val="24"/>
          <w:szCs w:val="24"/>
        </w:rPr>
      </w:pPr>
      <w:r>
        <w:rPr>
          <w:rFonts w:ascii="Times New Roman" w:hAnsi="Times New Roman" w:cs="Times New Roman"/>
          <w:sz w:val="24"/>
        </w:rPr>
        <w:lastRenderedPageBreak/>
        <w:t xml:space="preserve">Après avoir identifié les contraintes au développement des échanges dans les PED, le rapport OECD (2009) </w:t>
      </w:r>
      <w:r w:rsidR="00374ADC">
        <w:rPr>
          <w:rFonts w:ascii="Times New Roman" w:hAnsi="Times New Roman" w:cs="Times New Roman"/>
          <w:sz w:val="24"/>
        </w:rPr>
        <w:t xml:space="preserve">montre que les quatre objectifs de l’initiative "aide pour le commerce" ont un fort potentiel à booster la croissance économique et réduire la pauvreté dans les pays en développement. Cependant, ce potentiel de commerce ne sera réalisé que si les pays concernés transforment les opportunités de commerce en commerce et le commerce en croissance. Les défis dans ce sens incluent les contraintes de capacités d’offre et le manque d’infrastructures </w:t>
      </w:r>
      <w:r w:rsidR="00330BB6">
        <w:rPr>
          <w:rFonts w:ascii="Times New Roman" w:hAnsi="Times New Roman" w:cs="Times New Roman"/>
          <w:sz w:val="24"/>
        </w:rPr>
        <w:t>liés aux échanges d’une part puis les contraintes endogènes qui limitent l’effet croissance des échanges d’autre part. Sur ce deuxième volet, les contraintes son</w:t>
      </w:r>
      <w:r w:rsidR="000666E5">
        <w:rPr>
          <w:rFonts w:ascii="Times New Roman" w:hAnsi="Times New Roman" w:cs="Times New Roman"/>
          <w:sz w:val="24"/>
        </w:rPr>
        <w:t>t nombreuses et il est utile d’</w:t>
      </w:r>
      <w:r w:rsidR="00330BB6">
        <w:rPr>
          <w:rFonts w:ascii="Times New Roman" w:hAnsi="Times New Roman" w:cs="Times New Roman"/>
          <w:sz w:val="24"/>
        </w:rPr>
        <w:t>identifier les plus fortes pour chaque pays : en la matière, l’approche d’analyse diagnostique des contraintes à la croissance proposée par Hausmann et al. (2005) constitue un outil assez précieux.</w:t>
      </w:r>
      <w:r w:rsidR="00DF1EF1">
        <w:rPr>
          <w:rFonts w:ascii="Times New Roman" w:hAnsi="Times New Roman" w:cs="Times New Roman"/>
          <w:sz w:val="24"/>
        </w:rPr>
        <w:t xml:space="preserve"> </w:t>
      </w:r>
      <w:r w:rsidR="00DF1EF1" w:rsidRPr="0036207F">
        <w:rPr>
          <w:rFonts w:ascii="Times New Roman" w:hAnsi="Times New Roman" w:cs="Times New Roman"/>
          <w:sz w:val="24"/>
          <w:szCs w:val="24"/>
        </w:rPr>
        <w:t>Cali et te Velde (20</w:t>
      </w:r>
      <w:r w:rsidR="004F3470">
        <w:rPr>
          <w:rFonts w:ascii="Times New Roman" w:hAnsi="Times New Roman" w:cs="Times New Roman"/>
          <w:sz w:val="24"/>
          <w:szCs w:val="24"/>
        </w:rPr>
        <w:t>1</w:t>
      </w:r>
      <w:r w:rsidR="00D30974">
        <w:rPr>
          <w:rFonts w:ascii="Times New Roman" w:hAnsi="Times New Roman" w:cs="Times New Roman"/>
          <w:sz w:val="24"/>
          <w:szCs w:val="24"/>
        </w:rPr>
        <w:t>0</w:t>
      </w:r>
      <w:r w:rsidR="00DF1EF1" w:rsidRPr="0036207F">
        <w:rPr>
          <w:rFonts w:ascii="Times New Roman" w:hAnsi="Times New Roman" w:cs="Times New Roman"/>
          <w:sz w:val="24"/>
          <w:szCs w:val="24"/>
        </w:rPr>
        <w:t>) analysent</w:t>
      </w:r>
      <w:r w:rsidR="00DF1EF1">
        <w:rPr>
          <w:rFonts w:ascii="Times New Roman" w:hAnsi="Times New Roman" w:cs="Times New Roman"/>
          <w:sz w:val="24"/>
          <w:szCs w:val="24"/>
        </w:rPr>
        <w:t xml:space="preserve"> les effets de l’aide pour le commerce sur la performance à l’exportation à travers la réduction des coûts d’échange et le niveau des exportations. </w:t>
      </w:r>
      <w:r w:rsidR="00DF1EF1" w:rsidRPr="0036207F">
        <w:rPr>
          <w:rFonts w:ascii="Times New Roman" w:hAnsi="Times New Roman" w:cs="Times New Roman"/>
          <w:sz w:val="24"/>
          <w:szCs w:val="24"/>
        </w:rPr>
        <w:t>Pour un échantillon de pays en développement, ils concluent à</w:t>
      </w:r>
      <w:r w:rsidR="00DF1EF1">
        <w:rPr>
          <w:rFonts w:ascii="Times New Roman" w:hAnsi="Times New Roman" w:cs="Times New Roman"/>
          <w:sz w:val="24"/>
          <w:szCs w:val="24"/>
        </w:rPr>
        <w:t xml:space="preserve"> un effet réducteur de l’aide pour le commerce sur les coûts à l’échange. </w:t>
      </w:r>
      <w:r w:rsidR="00DF1EF1" w:rsidRPr="0036207F">
        <w:rPr>
          <w:rFonts w:ascii="Times New Roman" w:hAnsi="Times New Roman" w:cs="Times New Roman"/>
          <w:sz w:val="24"/>
          <w:szCs w:val="24"/>
        </w:rPr>
        <w:t>Mieux, l’aide orientée vers les infrastructures économiques et les c</w:t>
      </w:r>
      <w:r w:rsidR="00DF1EF1">
        <w:rPr>
          <w:rFonts w:ascii="Times New Roman" w:hAnsi="Times New Roman" w:cs="Times New Roman"/>
          <w:sz w:val="24"/>
          <w:szCs w:val="24"/>
        </w:rPr>
        <w:t xml:space="preserve">apacités productives améliorent significativement le volume des exportations. </w:t>
      </w:r>
    </w:p>
    <w:p w:rsidR="00A050A0" w:rsidRPr="00B05677" w:rsidRDefault="006548C9" w:rsidP="00A050A0">
      <w:pPr>
        <w:spacing w:before="120" w:after="120"/>
        <w:jc w:val="both"/>
        <w:rPr>
          <w:rFonts w:ascii="Times New Roman" w:hAnsi="Times New Roman" w:cs="Times New Roman"/>
          <w:sz w:val="24"/>
        </w:rPr>
      </w:pPr>
      <w:r>
        <w:rPr>
          <w:rFonts w:ascii="Times New Roman" w:hAnsi="Times New Roman" w:cs="Times New Roman"/>
          <w:sz w:val="24"/>
        </w:rPr>
        <w:t xml:space="preserve">Autant la littérature indique un </w:t>
      </w:r>
      <w:r w:rsidR="005819C3">
        <w:rPr>
          <w:rFonts w:ascii="Times New Roman" w:hAnsi="Times New Roman" w:cs="Times New Roman"/>
          <w:sz w:val="24"/>
        </w:rPr>
        <w:t xml:space="preserve">fort </w:t>
      </w:r>
      <w:r>
        <w:rPr>
          <w:rFonts w:ascii="Times New Roman" w:hAnsi="Times New Roman" w:cs="Times New Roman"/>
          <w:sz w:val="24"/>
        </w:rPr>
        <w:t xml:space="preserve">lien empirique entre l’expansion des échanges et la croissance économique, autant il est montré que l’effet sur la croissance varie suivant les pays (Chang et </w:t>
      </w:r>
      <w:proofErr w:type="gramStart"/>
      <w:r>
        <w:rPr>
          <w:rFonts w:ascii="Times New Roman" w:hAnsi="Times New Roman" w:cs="Times New Roman"/>
          <w:sz w:val="24"/>
        </w:rPr>
        <w:t>al.,</w:t>
      </w:r>
      <w:proofErr w:type="gramEnd"/>
      <w:r>
        <w:rPr>
          <w:rFonts w:ascii="Times New Roman" w:hAnsi="Times New Roman" w:cs="Times New Roman"/>
          <w:sz w:val="24"/>
        </w:rPr>
        <w:t xml:space="preserve"> 2005 ; </w:t>
      </w:r>
      <w:proofErr w:type="spellStart"/>
      <w:r>
        <w:rPr>
          <w:rFonts w:ascii="Times New Roman" w:hAnsi="Times New Roman" w:cs="Times New Roman"/>
          <w:sz w:val="24"/>
        </w:rPr>
        <w:t>Durfénot</w:t>
      </w:r>
      <w:proofErr w:type="spellEnd"/>
      <w:r>
        <w:rPr>
          <w:rFonts w:ascii="Times New Roman" w:hAnsi="Times New Roman" w:cs="Times New Roman"/>
          <w:sz w:val="24"/>
        </w:rPr>
        <w:t xml:space="preserve"> et al., 2009). </w:t>
      </w:r>
      <w:r w:rsidR="005819C3">
        <w:rPr>
          <w:rFonts w:ascii="Times New Roman" w:hAnsi="Times New Roman" w:cs="Times New Roman"/>
          <w:sz w:val="24"/>
        </w:rPr>
        <w:t xml:space="preserve">Pour </w:t>
      </w:r>
      <w:proofErr w:type="spellStart"/>
      <w:r>
        <w:rPr>
          <w:rFonts w:ascii="Times New Roman" w:hAnsi="Times New Roman" w:cs="Times New Roman"/>
          <w:sz w:val="24"/>
        </w:rPr>
        <w:t>Rodrik</w:t>
      </w:r>
      <w:proofErr w:type="spellEnd"/>
      <w:r>
        <w:rPr>
          <w:rFonts w:ascii="Times New Roman" w:hAnsi="Times New Roman" w:cs="Times New Roman"/>
          <w:sz w:val="24"/>
        </w:rPr>
        <w:t xml:space="preserve"> (1998)</w:t>
      </w:r>
      <w:r w:rsidR="005819C3">
        <w:rPr>
          <w:rFonts w:ascii="Times New Roman" w:hAnsi="Times New Roman" w:cs="Times New Roman"/>
          <w:sz w:val="24"/>
        </w:rPr>
        <w:t>, si</w:t>
      </w:r>
      <w:r>
        <w:rPr>
          <w:rFonts w:ascii="Times New Roman" w:hAnsi="Times New Roman" w:cs="Times New Roman"/>
          <w:sz w:val="24"/>
        </w:rPr>
        <w:t xml:space="preserve"> les politiques commerciales en Afrique Sub-saharienne ont produit le même impact sur les exportations et la performance du commerce mieux qu’ailleurs dans le monde</w:t>
      </w:r>
      <w:r w:rsidR="005819C3">
        <w:rPr>
          <w:rFonts w:ascii="Times New Roman" w:hAnsi="Times New Roman" w:cs="Times New Roman"/>
          <w:sz w:val="24"/>
        </w:rPr>
        <w:t xml:space="preserve"> sur la période 1964-1994, </w:t>
      </w:r>
      <w:r>
        <w:rPr>
          <w:rFonts w:ascii="Times New Roman" w:hAnsi="Times New Roman" w:cs="Times New Roman"/>
          <w:sz w:val="24"/>
        </w:rPr>
        <w:t xml:space="preserve">les effets de ces politiques sur la croissance économique </w:t>
      </w:r>
      <w:r w:rsidR="0008159D">
        <w:rPr>
          <w:rFonts w:ascii="Times New Roman" w:hAnsi="Times New Roman" w:cs="Times New Roman"/>
          <w:sz w:val="24"/>
        </w:rPr>
        <w:t xml:space="preserve">sont </w:t>
      </w:r>
      <w:r w:rsidR="005819C3">
        <w:rPr>
          <w:rFonts w:ascii="Times New Roman" w:hAnsi="Times New Roman" w:cs="Times New Roman"/>
          <w:sz w:val="24"/>
        </w:rPr>
        <w:t xml:space="preserve">restés </w:t>
      </w:r>
      <w:r w:rsidR="0008159D">
        <w:rPr>
          <w:rFonts w:ascii="Times New Roman" w:hAnsi="Times New Roman" w:cs="Times New Roman"/>
          <w:sz w:val="24"/>
        </w:rPr>
        <w:t>indirects et très modestes</w:t>
      </w:r>
      <w:r>
        <w:rPr>
          <w:rFonts w:ascii="Times New Roman" w:hAnsi="Times New Roman" w:cs="Times New Roman"/>
          <w:sz w:val="24"/>
        </w:rPr>
        <w:t>.</w:t>
      </w:r>
      <w:r w:rsidR="0008159D">
        <w:rPr>
          <w:rFonts w:ascii="Times New Roman" w:hAnsi="Times New Roman" w:cs="Times New Roman"/>
          <w:sz w:val="24"/>
        </w:rPr>
        <w:t xml:space="preserve"> En expliquant ce résultat,  </w:t>
      </w:r>
      <w:proofErr w:type="spellStart"/>
      <w:r w:rsidR="0008159D">
        <w:rPr>
          <w:rFonts w:ascii="Times New Roman" w:hAnsi="Times New Roman" w:cs="Times New Roman"/>
          <w:sz w:val="24"/>
        </w:rPr>
        <w:t>Dufrénot</w:t>
      </w:r>
      <w:proofErr w:type="spellEnd"/>
      <w:r w:rsidR="0008159D">
        <w:rPr>
          <w:rFonts w:ascii="Times New Roman" w:hAnsi="Times New Roman" w:cs="Times New Roman"/>
          <w:sz w:val="24"/>
        </w:rPr>
        <w:t xml:space="preserve"> et al. (2009) montre</w:t>
      </w:r>
      <w:r w:rsidR="00E22380">
        <w:rPr>
          <w:rFonts w:ascii="Times New Roman" w:hAnsi="Times New Roman" w:cs="Times New Roman"/>
          <w:sz w:val="24"/>
        </w:rPr>
        <w:t>nt</w:t>
      </w:r>
      <w:r w:rsidR="0008159D">
        <w:rPr>
          <w:rFonts w:ascii="Times New Roman" w:hAnsi="Times New Roman" w:cs="Times New Roman"/>
          <w:sz w:val="24"/>
        </w:rPr>
        <w:t xml:space="preserve"> que l’effet croissance de l’ouverture commerciale est plus important dans les pays en développement à faible taux de croissance que dans les PED à fort taux de croissance ; ceci est justifié par la forte concentration des exportations et une part relativement réduite du secteur manufacturier dans les premiers pays.</w:t>
      </w:r>
      <w:r w:rsidR="00A050A0">
        <w:rPr>
          <w:rFonts w:ascii="Times New Roman" w:hAnsi="Times New Roman" w:cs="Times New Roman"/>
          <w:sz w:val="24"/>
        </w:rPr>
        <w:t xml:space="preserve"> Or, l’analyse sectorielle des</w:t>
      </w:r>
      <w:r w:rsidR="00A050A0" w:rsidRPr="00A050A0">
        <w:rPr>
          <w:rFonts w:ascii="Times New Roman" w:hAnsi="Times New Roman" w:cs="Times New Roman"/>
          <w:sz w:val="24"/>
          <w:szCs w:val="24"/>
        </w:rPr>
        <w:t xml:space="preserve"> </w:t>
      </w:r>
      <w:r w:rsidR="00A050A0">
        <w:rPr>
          <w:rFonts w:ascii="Times New Roman" w:hAnsi="Times New Roman" w:cs="Times New Roman"/>
          <w:sz w:val="24"/>
          <w:szCs w:val="24"/>
        </w:rPr>
        <w:t>effets de l’aide pour le commerce</w:t>
      </w:r>
      <w:r w:rsidR="00A050A0">
        <w:rPr>
          <w:rFonts w:ascii="Times New Roman" w:hAnsi="Times New Roman" w:cs="Times New Roman"/>
          <w:sz w:val="24"/>
        </w:rPr>
        <w:t xml:space="preserve"> faite par </w:t>
      </w:r>
      <w:r w:rsidR="00A050A0" w:rsidRPr="0036207F">
        <w:rPr>
          <w:rFonts w:ascii="Times New Roman" w:hAnsi="Times New Roman" w:cs="Times New Roman"/>
          <w:sz w:val="24"/>
          <w:szCs w:val="24"/>
        </w:rPr>
        <w:t>Cali et te Velde (20</w:t>
      </w:r>
      <w:r w:rsidR="004F3470">
        <w:rPr>
          <w:rFonts w:ascii="Times New Roman" w:hAnsi="Times New Roman" w:cs="Times New Roman"/>
          <w:sz w:val="24"/>
          <w:szCs w:val="24"/>
        </w:rPr>
        <w:t>1</w:t>
      </w:r>
      <w:r w:rsidR="00D30974">
        <w:rPr>
          <w:rFonts w:ascii="Times New Roman" w:hAnsi="Times New Roman" w:cs="Times New Roman"/>
          <w:sz w:val="24"/>
          <w:szCs w:val="24"/>
        </w:rPr>
        <w:t>0</w:t>
      </w:r>
      <w:r w:rsidR="00A050A0" w:rsidRPr="0036207F">
        <w:rPr>
          <w:rFonts w:ascii="Times New Roman" w:hAnsi="Times New Roman" w:cs="Times New Roman"/>
          <w:sz w:val="24"/>
          <w:szCs w:val="24"/>
        </w:rPr>
        <w:t>) permet de montrer que l’</w:t>
      </w:r>
      <w:r w:rsidR="00A050A0">
        <w:rPr>
          <w:rFonts w:ascii="Times New Roman" w:hAnsi="Times New Roman" w:cs="Times New Roman"/>
          <w:sz w:val="24"/>
          <w:szCs w:val="24"/>
        </w:rPr>
        <w:t xml:space="preserve">aide à l’infrastructure est particulièrement bénéfique pour les secteurs miniers et manufacturiers, le secteur de l’agroalimentaire étant moins impacté. En la matière, appréciant l’effet substitution entre l’aide et la préférence pour l’échange en présence d’externalités de </w:t>
      </w:r>
      <w:proofErr w:type="spellStart"/>
      <w:r w:rsidR="00A050A0" w:rsidRPr="000666E5">
        <w:rPr>
          <w:rFonts w:ascii="Times New Roman" w:hAnsi="Times New Roman" w:cs="Times New Roman"/>
          <w:i/>
          <w:sz w:val="24"/>
          <w:szCs w:val="24"/>
        </w:rPr>
        <w:t>learning</w:t>
      </w:r>
      <w:proofErr w:type="spellEnd"/>
      <w:r w:rsidR="00A050A0" w:rsidRPr="000666E5">
        <w:rPr>
          <w:rFonts w:ascii="Times New Roman" w:hAnsi="Times New Roman" w:cs="Times New Roman"/>
          <w:i/>
          <w:sz w:val="24"/>
          <w:szCs w:val="24"/>
        </w:rPr>
        <w:t xml:space="preserve"> by </w:t>
      </w:r>
      <w:proofErr w:type="spellStart"/>
      <w:r w:rsidR="00A050A0" w:rsidRPr="000666E5">
        <w:rPr>
          <w:rFonts w:ascii="Times New Roman" w:hAnsi="Times New Roman" w:cs="Times New Roman"/>
          <w:i/>
          <w:sz w:val="24"/>
          <w:szCs w:val="24"/>
        </w:rPr>
        <w:t>doing</w:t>
      </w:r>
      <w:proofErr w:type="spellEnd"/>
      <w:r w:rsidR="00A050A0">
        <w:rPr>
          <w:rFonts w:ascii="Times New Roman" w:hAnsi="Times New Roman" w:cs="Times New Roman"/>
          <w:sz w:val="24"/>
          <w:szCs w:val="24"/>
        </w:rPr>
        <w:t> sur les exportations entre pays partenaires,</w:t>
      </w:r>
      <w:r w:rsidR="00A050A0" w:rsidRPr="00A050A0">
        <w:rPr>
          <w:rFonts w:ascii="Times New Roman" w:hAnsi="Times New Roman" w:cs="Times New Roman"/>
          <w:sz w:val="24"/>
          <w:szCs w:val="24"/>
        </w:rPr>
        <w:t xml:space="preserve"> </w:t>
      </w:r>
      <w:r w:rsidR="00A050A0" w:rsidRPr="00B05677">
        <w:rPr>
          <w:rFonts w:ascii="Times New Roman" w:hAnsi="Times New Roman" w:cs="Times New Roman"/>
          <w:sz w:val="24"/>
          <w:szCs w:val="24"/>
        </w:rPr>
        <w:t xml:space="preserve">Adam et </w:t>
      </w:r>
      <w:proofErr w:type="spellStart"/>
      <w:r w:rsidR="00A050A0" w:rsidRPr="00B05677">
        <w:rPr>
          <w:rFonts w:ascii="Times New Roman" w:hAnsi="Times New Roman" w:cs="Times New Roman"/>
          <w:sz w:val="24"/>
          <w:szCs w:val="24"/>
        </w:rPr>
        <w:t>O'Connell</w:t>
      </w:r>
      <w:proofErr w:type="spellEnd"/>
      <w:r w:rsidR="00A050A0" w:rsidRPr="00B05677">
        <w:rPr>
          <w:rFonts w:ascii="Times New Roman" w:hAnsi="Times New Roman" w:cs="Times New Roman"/>
          <w:sz w:val="24"/>
          <w:szCs w:val="24"/>
        </w:rPr>
        <w:t xml:space="preserve"> (2004)</w:t>
      </w:r>
      <w:r w:rsidR="00A5687E">
        <w:rPr>
          <w:rFonts w:ascii="Times New Roman" w:hAnsi="Times New Roman" w:cs="Times New Roman"/>
          <w:sz w:val="24"/>
          <w:szCs w:val="24"/>
        </w:rPr>
        <w:t xml:space="preserve"> montrent qu’</w:t>
      </w:r>
      <w:r w:rsidR="00A050A0">
        <w:rPr>
          <w:rFonts w:ascii="Times New Roman" w:hAnsi="Times New Roman" w:cs="Times New Roman"/>
          <w:sz w:val="24"/>
          <w:szCs w:val="24"/>
        </w:rPr>
        <w:t>une plus grande préférence pour le commerce au détriment de l’aide accroîtrait le bien-être du pays bénéficiaire.</w:t>
      </w:r>
    </w:p>
    <w:p w:rsidR="00DF1EF1" w:rsidRDefault="004375EB" w:rsidP="00DF1E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Les effets de l’aide pour le commerce sur le bien-être ne sont pas aussi évidents comme le soulignent Mayer et </w:t>
      </w:r>
      <w:proofErr w:type="spellStart"/>
      <w:r>
        <w:rPr>
          <w:rFonts w:ascii="Times New Roman" w:hAnsi="Times New Roman" w:cs="Times New Roman"/>
          <w:sz w:val="24"/>
          <w:szCs w:val="24"/>
        </w:rPr>
        <w:t>Milberg</w:t>
      </w:r>
      <w:proofErr w:type="spellEnd"/>
      <w:r>
        <w:rPr>
          <w:rFonts w:ascii="Times New Roman" w:hAnsi="Times New Roman" w:cs="Times New Roman"/>
          <w:sz w:val="24"/>
          <w:szCs w:val="24"/>
        </w:rPr>
        <w:t xml:space="preserve"> (2013). Dans un contexte de généralisation des chaines de valeur ajoutée où coexistent petites et grandes entreprises avec différents pouvoirs de marché, travailleurs et petits producteurs ne sont pas à même de capter les gains économiques. En conséquence, pour les auteurs, le bénéfice de l’aide pour le commerce est capté par les </w:t>
      </w:r>
      <w:r w:rsidR="00AF7F8F">
        <w:rPr>
          <w:rFonts w:ascii="Times New Roman" w:hAnsi="Times New Roman" w:cs="Times New Roman"/>
          <w:sz w:val="24"/>
          <w:szCs w:val="24"/>
        </w:rPr>
        <w:t>seuls acteurs du marché qui ont un fort pouvoir de marché dans les chaines de valeur ; ce qui biaise les effets potentiels de l’aide sur la croissance, la réduction de la pauvreté et le bien-être.</w:t>
      </w:r>
      <w:r w:rsidR="00DF1EF1">
        <w:rPr>
          <w:rFonts w:ascii="Times New Roman" w:hAnsi="Times New Roman" w:cs="Times New Roman"/>
          <w:sz w:val="24"/>
          <w:szCs w:val="24"/>
        </w:rPr>
        <w:t xml:space="preserve"> Au-delà du flux d’aide, </w:t>
      </w:r>
      <w:proofErr w:type="spellStart"/>
      <w:r w:rsidR="00DF1EF1" w:rsidRPr="00035F13">
        <w:rPr>
          <w:rFonts w:ascii="Times New Roman" w:hAnsi="Times New Roman" w:cs="Times New Roman"/>
          <w:sz w:val="24"/>
          <w:szCs w:val="24"/>
        </w:rPr>
        <w:t>Lensink</w:t>
      </w:r>
      <w:proofErr w:type="spellEnd"/>
      <w:r w:rsidR="00DF1EF1" w:rsidRPr="00035F13">
        <w:rPr>
          <w:rFonts w:ascii="Times New Roman" w:hAnsi="Times New Roman" w:cs="Times New Roman"/>
          <w:sz w:val="24"/>
          <w:szCs w:val="24"/>
        </w:rPr>
        <w:t xml:space="preserve"> et </w:t>
      </w:r>
      <w:proofErr w:type="spellStart"/>
      <w:r w:rsidR="00DF1EF1" w:rsidRPr="00035F13">
        <w:rPr>
          <w:rFonts w:ascii="Times New Roman" w:hAnsi="Times New Roman" w:cs="Times New Roman"/>
          <w:sz w:val="24"/>
          <w:szCs w:val="24"/>
        </w:rPr>
        <w:t>Morrissey</w:t>
      </w:r>
      <w:proofErr w:type="spellEnd"/>
      <w:r w:rsidR="00DF1EF1" w:rsidRPr="00035F13">
        <w:rPr>
          <w:rFonts w:ascii="Times New Roman" w:hAnsi="Times New Roman" w:cs="Times New Roman"/>
          <w:sz w:val="24"/>
          <w:szCs w:val="24"/>
        </w:rPr>
        <w:t xml:space="preserve"> (</w:t>
      </w:r>
      <w:r w:rsidR="00DF1EF1">
        <w:rPr>
          <w:rFonts w:ascii="Times New Roman" w:hAnsi="Times New Roman" w:cs="Times New Roman"/>
          <w:sz w:val="24"/>
          <w:szCs w:val="24"/>
        </w:rPr>
        <w:t>1999</w:t>
      </w:r>
      <w:r w:rsidR="00DF1EF1" w:rsidRPr="00035F13">
        <w:rPr>
          <w:rFonts w:ascii="Times New Roman" w:hAnsi="Times New Roman" w:cs="Times New Roman"/>
          <w:sz w:val="24"/>
          <w:szCs w:val="24"/>
        </w:rPr>
        <w:t>) considèrent</w:t>
      </w:r>
      <w:r w:rsidR="00DF1EF1">
        <w:rPr>
          <w:rFonts w:ascii="Times New Roman" w:hAnsi="Times New Roman" w:cs="Times New Roman"/>
          <w:sz w:val="24"/>
          <w:szCs w:val="24"/>
        </w:rPr>
        <w:t xml:space="preserve"> la stabilité de</w:t>
      </w:r>
      <w:r w:rsidR="005819C3">
        <w:rPr>
          <w:rFonts w:ascii="Times New Roman" w:hAnsi="Times New Roman" w:cs="Times New Roman"/>
          <w:sz w:val="24"/>
          <w:szCs w:val="24"/>
        </w:rPr>
        <w:t xml:space="preserve"> l</w:t>
      </w:r>
      <w:r w:rsidR="00DF1EF1">
        <w:rPr>
          <w:rFonts w:ascii="Times New Roman" w:hAnsi="Times New Roman" w:cs="Times New Roman"/>
          <w:sz w:val="24"/>
          <w:szCs w:val="24"/>
        </w:rPr>
        <w:t>’aide</w:t>
      </w:r>
      <w:r w:rsidR="005819C3">
        <w:rPr>
          <w:rFonts w:ascii="Times New Roman" w:hAnsi="Times New Roman" w:cs="Times New Roman"/>
          <w:sz w:val="24"/>
          <w:szCs w:val="24"/>
        </w:rPr>
        <w:t xml:space="preserve"> pour en expliquer les effets réels</w:t>
      </w:r>
      <w:r w:rsidR="00DF1EF1">
        <w:rPr>
          <w:rFonts w:ascii="Times New Roman" w:hAnsi="Times New Roman" w:cs="Times New Roman"/>
          <w:sz w:val="24"/>
          <w:szCs w:val="24"/>
        </w:rPr>
        <w:t>. Estimant en coupe instantanée un modèle de croissance incluant le niveau</w:t>
      </w:r>
      <w:r w:rsidR="00846D88">
        <w:rPr>
          <w:rFonts w:ascii="Times New Roman" w:hAnsi="Times New Roman" w:cs="Times New Roman"/>
          <w:sz w:val="24"/>
          <w:szCs w:val="24"/>
        </w:rPr>
        <w:t xml:space="preserve"> de l’aide</w:t>
      </w:r>
      <w:r w:rsidR="00DF1EF1">
        <w:rPr>
          <w:rFonts w:ascii="Times New Roman" w:hAnsi="Times New Roman" w:cs="Times New Roman"/>
          <w:sz w:val="24"/>
          <w:szCs w:val="24"/>
        </w:rPr>
        <w:t xml:space="preserve">, ils montrent que l’effet de l’aide n’est pas significatif ; mais prenant en </w:t>
      </w:r>
      <w:r w:rsidR="00DF1EF1">
        <w:rPr>
          <w:rFonts w:ascii="Times New Roman" w:hAnsi="Times New Roman" w:cs="Times New Roman"/>
          <w:sz w:val="24"/>
          <w:szCs w:val="24"/>
        </w:rPr>
        <w:lastRenderedPageBreak/>
        <w:t xml:space="preserve">compte l’instabilité, l’effet du flux d’aide sur la croissance économique devient significatif. Le test de stabilité indique par ailleurs que l’effet significatif résulte du canal de l’investissement. C’est donc plus la stabilité des flux d’aide qui induirait des effets significatifs sur la croissance ; ce qui implique pour les pays de l’Afrique Sub-saharienne, un moindre impact de l’aide, étant donné les incertitudes qui la caractérisent. </w:t>
      </w:r>
    </w:p>
    <w:p w:rsidR="00DF1EF1" w:rsidRPr="00D6059A" w:rsidRDefault="00DF1EF1" w:rsidP="00DF1EF1">
      <w:pPr>
        <w:spacing w:before="120" w:after="120"/>
        <w:jc w:val="both"/>
        <w:rPr>
          <w:rFonts w:ascii="Times New Roman" w:hAnsi="Times New Roman" w:cs="Times New Roman"/>
          <w:sz w:val="24"/>
        </w:rPr>
      </w:pPr>
      <w:r>
        <w:rPr>
          <w:rFonts w:ascii="Times New Roman" w:hAnsi="Times New Roman" w:cs="Times New Roman"/>
          <w:sz w:val="24"/>
        </w:rPr>
        <w:t>L</w:t>
      </w:r>
      <w:r w:rsidRPr="00D6059A">
        <w:rPr>
          <w:rFonts w:ascii="Times New Roman" w:hAnsi="Times New Roman" w:cs="Times New Roman"/>
          <w:sz w:val="24"/>
        </w:rPr>
        <w:t xml:space="preserve">es différences </w:t>
      </w:r>
      <w:r>
        <w:rPr>
          <w:rFonts w:ascii="Times New Roman" w:hAnsi="Times New Roman" w:cs="Times New Roman"/>
          <w:sz w:val="24"/>
        </w:rPr>
        <w:t>entre pays révèlent l’existence de contraintes limitant les effets des échanges sur la croissance économique. Il est par ailleurs admis que ces effets ne sont pas directs mais transitent par divers canaux de transmission dont les plus importants sont l’investissement et la productivité (OECD, 2009). Au nombre des facteurs pouvant affecter le mécanisme de transmission, il y a l’instabilité macroéconomique, les contraintes financières, le développement financier, la qualité de la main d’œuvre puis les politiques ciblant l’environnement des affaires et l’allocation des ressources. Adressant les leçons apprises des réformes engagées dans les années 1990, la Banque Mondiale</w:t>
      </w:r>
      <w:r>
        <w:rPr>
          <w:rStyle w:val="Appelnotedebasdep"/>
          <w:rFonts w:ascii="Times New Roman" w:hAnsi="Times New Roman" w:cs="Times New Roman"/>
          <w:sz w:val="24"/>
        </w:rPr>
        <w:footnoteReference w:id="6"/>
      </w:r>
      <w:r>
        <w:rPr>
          <w:rFonts w:ascii="Times New Roman" w:hAnsi="Times New Roman" w:cs="Times New Roman"/>
          <w:sz w:val="24"/>
        </w:rPr>
        <w:t xml:space="preserve"> évoque la problématique d’impact des échanges sur la croissance en ces termes : "le commerce est une opportunité, non une garantie ; s</w:t>
      </w:r>
      <w:r w:rsidR="00E22380">
        <w:rPr>
          <w:rFonts w:ascii="Times New Roman" w:hAnsi="Times New Roman" w:cs="Times New Roman"/>
          <w:sz w:val="24"/>
        </w:rPr>
        <w:t>’</w:t>
      </w:r>
      <w:r>
        <w:rPr>
          <w:rFonts w:ascii="Times New Roman" w:hAnsi="Times New Roman" w:cs="Times New Roman"/>
          <w:sz w:val="24"/>
        </w:rPr>
        <w:t>il peut aider à accélérer l’intégration au commerce international et renforcer les stratégies de croissance, il ne peut assurer le succès d’autres facteurs nécessaires dont la gestion macroéconomique, les infrastructures et instit</w:t>
      </w:r>
      <w:r w:rsidR="005819C3">
        <w:rPr>
          <w:rFonts w:ascii="Times New Roman" w:hAnsi="Times New Roman" w:cs="Times New Roman"/>
          <w:sz w:val="24"/>
        </w:rPr>
        <w:t>utions favorables aux échanges"</w:t>
      </w:r>
      <w:r>
        <w:rPr>
          <w:rFonts w:ascii="Times New Roman" w:hAnsi="Times New Roman" w:cs="Times New Roman"/>
          <w:sz w:val="24"/>
        </w:rPr>
        <w:t xml:space="preserve">. Parce que l’initiative "aide pour le commerce" n’inclut pas ces facteurs, ils doivent être adressés à travers des politiques et réformes complémentaires (OECD, 2009). Ce point de vue est compatible avec celui de Collier et Dollar (2002) adressant la problématique de </w:t>
      </w:r>
      <w:r>
        <w:rPr>
          <w:rFonts w:ascii="Times New Roman" w:hAnsi="Times New Roman" w:cs="Times New Roman"/>
          <w:sz w:val="24"/>
          <w:szCs w:val="24"/>
        </w:rPr>
        <w:t xml:space="preserve">l’inefficacité de l’aide globale sur la réduction de la pauvreté : les sources d’inefficience sont à rechercher dans les niveaux de pauvreté et surtout dans la qualité des politiques mises en œuvre. </w:t>
      </w:r>
    </w:p>
    <w:p w:rsidR="00DF1EF1" w:rsidRDefault="00DF1EF1" w:rsidP="00DF1EF1">
      <w:pPr>
        <w:spacing w:before="120" w:after="120"/>
        <w:jc w:val="both"/>
        <w:rPr>
          <w:rFonts w:ascii="Times New Roman" w:hAnsi="Times New Roman" w:cs="Times New Roman"/>
          <w:sz w:val="24"/>
        </w:rPr>
      </w:pPr>
      <w:r>
        <w:rPr>
          <w:rFonts w:ascii="Times New Roman" w:hAnsi="Times New Roman" w:cs="Times New Roman"/>
          <w:sz w:val="24"/>
        </w:rPr>
        <w:t xml:space="preserve">Il est aussi possible que spécifiquement, le programme "aide pour le commerce" permet d’apporter des solutions aux changements climatiques. </w:t>
      </w:r>
      <w:r w:rsidRPr="00672FBC">
        <w:rPr>
          <w:rFonts w:ascii="Times New Roman" w:hAnsi="Times New Roman" w:cs="Times New Roman"/>
          <w:sz w:val="24"/>
        </w:rPr>
        <w:t>C’est le cas des financements consentis dans le secteur agricole</w:t>
      </w:r>
      <w:r>
        <w:rPr>
          <w:rFonts w:ascii="Times New Roman" w:hAnsi="Times New Roman" w:cs="Times New Roman"/>
          <w:sz w:val="24"/>
        </w:rPr>
        <w:t xml:space="preserve"> qui devront croître, prenant en compte les problèmes d’adaptation et d’atténuation aux changements climatiques afin de faire jouer le principe des avantages comparatifs et du potentiel d’exportation.</w:t>
      </w:r>
      <w:r w:rsidRPr="00672FBC">
        <w:rPr>
          <w:rFonts w:ascii="Times New Roman" w:hAnsi="Times New Roman" w:cs="Times New Roman"/>
          <w:sz w:val="24"/>
        </w:rPr>
        <w:t xml:space="preserve"> </w:t>
      </w:r>
      <w:r>
        <w:rPr>
          <w:rFonts w:ascii="Times New Roman" w:hAnsi="Times New Roman" w:cs="Times New Roman"/>
          <w:sz w:val="24"/>
        </w:rPr>
        <w:t>Car en effet, les variations de température et de précipitation, avec les événements climatiques extrêmes affecteront les rendements et la productivité agricoles dans les PED. De ce point de vue, les nouveaux challenges de "l’aide pour le commerce" incluent des investissements conséquents dans les projets d’atténuation et d’adaptation qui valorisent les potentialités agricoles et exportatrices des pays.</w:t>
      </w:r>
      <w:r w:rsidRPr="00B05677">
        <w:rPr>
          <w:rFonts w:ascii="Times New Roman" w:hAnsi="Times New Roman" w:cs="Times New Roman"/>
          <w:sz w:val="24"/>
        </w:rPr>
        <w:t xml:space="preserve"> </w:t>
      </w:r>
      <w:r w:rsidRPr="007A6A11">
        <w:rPr>
          <w:rFonts w:ascii="Times New Roman" w:hAnsi="Times New Roman" w:cs="Times New Roman"/>
          <w:sz w:val="24"/>
        </w:rPr>
        <w:t xml:space="preserve">Enfin, le programme </w:t>
      </w:r>
      <w:r>
        <w:rPr>
          <w:rFonts w:ascii="Times New Roman" w:hAnsi="Times New Roman" w:cs="Times New Roman"/>
          <w:sz w:val="24"/>
        </w:rPr>
        <w:t xml:space="preserve">"aide pour le commerce" aura besoin d’investir dans les activités qui renforcent les capacités d’ajustement afin de réduire l’effet de la baisse de la demande globale sur la croissance et la pauvreté dans les pays en développement. </w:t>
      </w:r>
      <w:r w:rsidR="00137E9A">
        <w:rPr>
          <w:rFonts w:ascii="Times New Roman" w:hAnsi="Times New Roman" w:cs="Times New Roman"/>
          <w:sz w:val="24"/>
        </w:rPr>
        <w:t>Cependant, les trois rappels de Collier et Dollar (2002) dans le cadre de l’aide globale demeurent à savoir : les rendements décroissants dans l’impact de l’aide pour le commerce sur la croissance, l’absence de causalité entre la quantité de l’aide et la qualité des politiques puis la difficulté de ciblage des pauvres étant donné la fongibilité de l’aide.</w:t>
      </w:r>
    </w:p>
    <w:p w:rsidR="005819C3" w:rsidRDefault="005819C3" w:rsidP="00DF1EF1">
      <w:pPr>
        <w:spacing w:before="120" w:after="120"/>
        <w:jc w:val="both"/>
        <w:rPr>
          <w:rFonts w:ascii="Times New Roman" w:hAnsi="Times New Roman" w:cs="Times New Roman"/>
          <w:sz w:val="24"/>
        </w:rPr>
      </w:pPr>
    </w:p>
    <w:p w:rsidR="005B4443" w:rsidRDefault="005B4443" w:rsidP="0098541B">
      <w:pPr>
        <w:spacing w:before="120" w:after="120"/>
        <w:jc w:val="both"/>
        <w:rPr>
          <w:rFonts w:ascii="Times New Roman" w:hAnsi="Times New Roman" w:cs="Times New Roman"/>
          <w:sz w:val="24"/>
        </w:rPr>
      </w:pPr>
    </w:p>
    <w:p w:rsidR="00AC11B4" w:rsidRPr="005456F7" w:rsidRDefault="00AC11B4" w:rsidP="00613A51">
      <w:pPr>
        <w:pStyle w:val="Paragraphedeliste"/>
        <w:numPr>
          <w:ilvl w:val="0"/>
          <w:numId w:val="8"/>
        </w:numPr>
        <w:spacing w:before="120" w:after="120"/>
        <w:jc w:val="both"/>
        <w:rPr>
          <w:rFonts w:ascii="Times New Roman" w:hAnsi="Times New Roman" w:cs="Times New Roman"/>
          <w:b/>
          <w:sz w:val="24"/>
          <w:szCs w:val="24"/>
        </w:rPr>
      </w:pPr>
      <w:r w:rsidRPr="005456F7">
        <w:rPr>
          <w:rFonts w:ascii="Times New Roman" w:hAnsi="Times New Roman" w:cs="Times New Roman"/>
          <w:b/>
          <w:sz w:val="24"/>
          <w:szCs w:val="24"/>
        </w:rPr>
        <w:lastRenderedPageBreak/>
        <w:t>Méthodologie</w:t>
      </w:r>
      <w:r w:rsidR="005B4509">
        <w:rPr>
          <w:rFonts w:ascii="Times New Roman" w:hAnsi="Times New Roman" w:cs="Times New Roman"/>
          <w:b/>
          <w:sz w:val="24"/>
          <w:szCs w:val="24"/>
        </w:rPr>
        <w:t xml:space="preserve"> </w:t>
      </w:r>
    </w:p>
    <w:p w:rsidR="005B4509" w:rsidRPr="005B4509" w:rsidRDefault="005B4509" w:rsidP="005B4509">
      <w:pPr>
        <w:spacing w:before="120" w:after="120"/>
        <w:jc w:val="both"/>
        <w:rPr>
          <w:rFonts w:ascii="Times New Roman" w:eastAsia="Calibri" w:hAnsi="Times New Roman" w:cs="Times New Roman"/>
          <w:sz w:val="24"/>
          <w:szCs w:val="24"/>
        </w:rPr>
      </w:pPr>
      <w:r w:rsidRPr="005B4509">
        <w:rPr>
          <w:rFonts w:ascii="Times New Roman" w:eastAsia="Calibri" w:hAnsi="Times New Roman" w:cs="Times New Roman"/>
          <w:sz w:val="24"/>
          <w:szCs w:val="24"/>
        </w:rPr>
        <w:t>La démarche méthodologique comporte la revue documentaire qui passe par une bonne maîtrise </w:t>
      </w:r>
      <w:r w:rsidRPr="005B4509">
        <w:rPr>
          <w:rFonts w:ascii="Times New Roman" w:hAnsi="Times New Roman" w:cs="Times New Roman"/>
          <w:sz w:val="24"/>
          <w:szCs w:val="24"/>
        </w:rPr>
        <w:t>de l’ensemble des réformes visant la facilitation du commerce au Bénin (</w:t>
      </w:r>
      <w:r>
        <w:rPr>
          <w:rFonts w:ascii="Times New Roman" w:hAnsi="Times New Roman" w:cs="Times New Roman"/>
          <w:sz w:val="24"/>
          <w:szCs w:val="24"/>
        </w:rPr>
        <w:t>aussi bien au PAC que dans le domaine du</w:t>
      </w:r>
      <w:r w:rsidRPr="005B4509">
        <w:rPr>
          <w:rFonts w:ascii="Times New Roman" w:hAnsi="Times New Roman" w:cs="Times New Roman"/>
          <w:sz w:val="24"/>
          <w:szCs w:val="24"/>
        </w:rPr>
        <w:t xml:space="preserve"> commerce transfrontalier)</w:t>
      </w:r>
      <w:r>
        <w:rPr>
          <w:rFonts w:ascii="Times New Roman" w:hAnsi="Times New Roman" w:cs="Times New Roman"/>
          <w:sz w:val="24"/>
          <w:szCs w:val="24"/>
        </w:rPr>
        <w:t xml:space="preserve"> puis</w:t>
      </w:r>
      <w:r w:rsidRPr="005B4509">
        <w:rPr>
          <w:rFonts w:ascii="Times New Roman" w:hAnsi="Times New Roman" w:cs="Times New Roman"/>
          <w:sz w:val="24"/>
          <w:szCs w:val="24"/>
        </w:rPr>
        <w:t xml:space="preserve"> </w:t>
      </w:r>
      <w:r>
        <w:rPr>
          <w:rFonts w:ascii="Times New Roman" w:eastAsia="Calibri" w:hAnsi="Times New Roman" w:cs="Times New Roman"/>
          <w:sz w:val="24"/>
          <w:szCs w:val="24"/>
        </w:rPr>
        <w:t>la collecte de données primaires et secondaires utiles. Les approches d’analyse et les outils à mobiliser pour atteindre les objectifs de l’étude sont discutés aussi dans cette section.</w:t>
      </w:r>
      <w:r w:rsidRPr="005B4509">
        <w:rPr>
          <w:rFonts w:ascii="Times New Roman" w:eastAsia="Calibri" w:hAnsi="Times New Roman" w:cs="Times New Roman"/>
          <w:sz w:val="24"/>
          <w:szCs w:val="24"/>
        </w:rPr>
        <w:t xml:space="preserve"> </w:t>
      </w:r>
    </w:p>
    <w:p w:rsidR="00B70D27" w:rsidRDefault="00B70D27" w:rsidP="00D9166A">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Le concept d’aide pour le commerce est large et difficile à apprécier, ce qui ne facilite pas l’appréciation des effets (</w:t>
      </w:r>
      <w:proofErr w:type="spellStart"/>
      <w:r>
        <w:rPr>
          <w:rFonts w:ascii="Times New Roman" w:eastAsia="Calibri" w:hAnsi="Times New Roman" w:cs="Times New Roman"/>
          <w:sz w:val="24"/>
          <w:szCs w:val="24"/>
        </w:rPr>
        <w:t>Basnett</w:t>
      </w:r>
      <w:proofErr w:type="spellEnd"/>
      <w:r>
        <w:rPr>
          <w:rFonts w:ascii="Times New Roman" w:eastAsia="Calibri" w:hAnsi="Times New Roman" w:cs="Times New Roman"/>
          <w:sz w:val="24"/>
          <w:szCs w:val="24"/>
        </w:rPr>
        <w:t xml:space="preserve"> et </w:t>
      </w:r>
      <w:proofErr w:type="gramStart"/>
      <w:r>
        <w:rPr>
          <w:rFonts w:ascii="Times New Roman" w:eastAsia="Calibri" w:hAnsi="Times New Roman" w:cs="Times New Roman"/>
          <w:sz w:val="24"/>
          <w:szCs w:val="24"/>
        </w:rPr>
        <w:t>al.,</w:t>
      </w:r>
      <w:proofErr w:type="gramEnd"/>
      <w:r>
        <w:rPr>
          <w:rFonts w:ascii="Times New Roman" w:eastAsia="Calibri" w:hAnsi="Times New Roman" w:cs="Times New Roman"/>
          <w:sz w:val="24"/>
          <w:szCs w:val="24"/>
        </w:rPr>
        <w:t xml:space="preserve"> 2012). </w:t>
      </w:r>
      <w:r w:rsidRPr="00B70D27">
        <w:rPr>
          <w:rFonts w:ascii="Times New Roman" w:eastAsia="Calibri" w:hAnsi="Times New Roman" w:cs="Times New Roman"/>
          <w:sz w:val="24"/>
          <w:szCs w:val="24"/>
        </w:rPr>
        <w:t>Globalement, la littérature retient six cat</w:t>
      </w:r>
      <w:r w:rsidR="00C07DB6">
        <w:rPr>
          <w:rFonts w:ascii="Times New Roman" w:eastAsia="Calibri" w:hAnsi="Times New Roman" w:cs="Times New Roman"/>
          <w:sz w:val="24"/>
          <w:szCs w:val="24"/>
        </w:rPr>
        <w:t>é</w:t>
      </w:r>
      <w:r w:rsidRPr="00B70D27">
        <w:rPr>
          <w:rFonts w:ascii="Times New Roman" w:eastAsia="Calibri" w:hAnsi="Times New Roman" w:cs="Times New Roman"/>
          <w:sz w:val="24"/>
          <w:szCs w:val="24"/>
        </w:rPr>
        <w:t>gories</w:t>
      </w:r>
      <w:r w:rsidR="00C07DB6">
        <w:rPr>
          <w:rFonts w:ascii="Times New Roman" w:eastAsia="Calibri" w:hAnsi="Times New Roman" w:cs="Times New Roman"/>
          <w:sz w:val="24"/>
          <w:szCs w:val="24"/>
        </w:rPr>
        <w:t xml:space="preserve"> de variables</w:t>
      </w:r>
      <w:r w:rsidRPr="00B70D27">
        <w:rPr>
          <w:rFonts w:ascii="Times New Roman" w:eastAsia="Calibri" w:hAnsi="Times New Roman" w:cs="Times New Roman"/>
          <w:sz w:val="24"/>
          <w:szCs w:val="24"/>
        </w:rPr>
        <w:t xml:space="preserve"> propos</w:t>
      </w:r>
      <w:r w:rsidR="00D20E47">
        <w:rPr>
          <w:rFonts w:ascii="Times New Roman" w:eastAsia="Calibri" w:hAnsi="Times New Roman" w:cs="Times New Roman"/>
          <w:sz w:val="24"/>
          <w:szCs w:val="24"/>
        </w:rPr>
        <w:t>é</w:t>
      </w:r>
      <w:r w:rsidRPr="00B70D27">
        <w:rPr>
          <w:rFonts w:ascii="Times New Roman" w:eastAsia="Calibri" w:hAnsi="Times New Roman" w:cs="Times New Roman"/>
          <w:sz w:val="24"/>
          <w:szCs w:val="24"/>
        </w:rPr>
        <w:t>es par l’OMC (W</w:t>
      </w:r>
      <w:r>
        <w:rPr>
          <w:rFonts w:ascii="Times New Roman" w:eastAsia="Calibri" w:hAnsi="Times New Roman" w:cs="Times New Roman"/>
          <w:sz w:val="24"/>
          <w:szCs w:val="24"/>
        </w:rPr>
        <w:t xml:space="preserve">TO, 2006) </w:t>
      </w:r>
      <w:r w:rsidR="00C07DB6">
        <w:rPr>
          <w:rFonts w:ascii="Times New Roman" w:eastAsia="Calibri" w:hAnsi="Times New Roman" w:cs="Times New Roman"/>
          <w:sz w:val="24"/>
          <w:szCs w:val="24"/>
        </w:rPr>
        <w:t xml:space="preserve">pour </w:t>
      </w:r>
      <w:r w:rsidR="005819C3">
        <w:rPr>
          <w:rFonts w:ascii="Times New Roman" w:eastAsia="Calibri" w:hAnsi="Times New Roman" w:cs="Times New Roman"/>
          <w:sz w:val="24"/>
          <w:szCs w:val="24"/>
        </w:rPr>
        <w:t>mesurer l’aide pour le commerce</w:t>
      </w:r>
      <w:r w:rsidR="00C07DB6">
        <w:rPr>
          <w:rFonts w:ascii="Times New Roman" w:eastAsia="Calibri" w:hAnsi="Times New Roman" w:cs="Times New Roman"/>
          <w:sz w:val="24"/>
          <w:szCs w:val="24"/>
        </w:rPr>
        <w:t xml:space="preserve">. </w:t>
      </w:r>
      <w:r w:rsidR="00C07DB6" w:rsidRPr="00C07DB6">
        <w:rPr>
          <w:rFonts w:ascii="Times New Roman" w:eastAsia="Calibri" w:hAnsi="Times New Roman" w:cs="Times New Roman"/>
          <w:sz w:val="24"/>
          <w:szCs w:val="24"/>
        </w:rPr>
        <w:t>Il s’agit</w:t>
      </w:r>
      <w:r w:rsidR="00C07DB6">
        <w:rPr>
          <w:rFonts w:ascii="Times New Roman" w:eastAsia="Calibri" w:hAnsi="Times New Roman" w:cs="Times New Roman"/>
          <w:sz w:val="24"/>
          <w:szCs w:val="24"/>
        </w:rPr>
        <w:t xml:space="preserve"> de (i) l’aide orientée vers les politiques et régulations commerciales, (ii) </w:t>
      </w:r>
      <w:r w:rsidR="00C07DB6" w:rsidRPr="00C07DB6">
        <w:rPr>
          <w:rFonts w:ascii="Times New Roman" w:eastAsia="Calibri" w:hAnsi="Times New Roman" w:cs="Times New Roman"/>
          <w:sz w:val="24"/>
          <w:szCs w:val="24"/>
        </w:rPr>
        <w:t xml:space="preserve"> </w:t>
      </w:r>
      <w:r w:rsidR="00C07DB6">
        <w:rPr>
          <w:rFonts w:ascii="Times New Roman" w:eastAsia="Calibri" w:hAnsi="Times New Roman" w:cs="Times New Roman"/>
          <w:sz w:val="24"/>
          <w:szCs w:val="24"/>
        </w:rPr>
        <w:t>l’aide orientée vers le développement du commerce, (iii) l’aide destinée aux infrastructures d’échange, (iv) l’aide orientée vers le renforcement des capacités productives, (v) l’aide orientée vers les mesures d’ajustement puis (vi) l’aide destinée à d’autres besoins d’échange.</w:t>
      </w:r>
      <w:r w:rsidR="00FB53C9">
        <w:rPr>
          <w:rFonts w:ascii="Times New Roman" w:eastAsia="Calibri" w:hAnsi="Times New Roman" w:cs="Times New Roman"/>
          <w:sz w:val="24"/>
          <w:szCs w:val="24"/>
        </w:rPr>
        <w:t xml:space="preserve"> Il est classique de considérer l’une ou l’autre des variables compte tenu de la disponibilité des données mais aussi des objectifs de recherche : à l’instar de Cali et te Velde (201</w:t>
      </w:r>
      <w:r w:rsidR="00D30974">
        <w:rPr>
          <w:rFonts w:ascii="Times New Roman" w:eastAsia="Calibri" w:hAnsi="Times New Roman" w:cs="Times New Roman"/>
          <w:sz w:val="24"/>
          <w:szCs w:val="24"/>
        </w:rPr>
        <w:t>0</w:t>
      </w:r>
      <w:r w:rsidR="00FB53C9">
        <w:rPr>
          <w:rFonts w:ascii="Times New Roman" w:eastAsia="Calibri" w:hAnsi="Times New Roman" w:cs="Times New Roman"/>
          <w:sz w:val="24"/>
          <w:szCs w:val="24"/>
        </w:rPr>
        <w:t xml:space="preserve">), </w:t>
      </w:r>
      <w:proofErr w:type="spellStart"/>
      <w:r w:rsidR="00FB53C9">
        <w:rPr>
          <w:rFonts w:ascii="Times New Roman" w:eastAsia="Calibri" w:hAnsi="Times New Roman" w:cs="Times New Roman"/>
          <w:sz w:val="24"/>
          <w:szCs w:val="24"/>
        </w:rPr>
        <w:t>Vijil</w:t>
      </w:r>
      <w:proofErr w:type="spellEnd"/>
      <w:r w:rsidR="00FB53C9">
        <w:rPr>
          <w:rFonts w:ascii="Times New Roman" w:eastAsia="Calibri" w:hAnsi="Times New Roman" w:cs="Times New Roman"/>
          <w:sz w:val="24"/>
          <w:szCs w:val="24"/>
        </w:rPr>
        <w:t xml:space="preserve"> et Wagner (2010) puis </w:t>
      </w:r>
      <w:proofErr w:type="spellStart"/>
      <w:r w:rsidR="00FB53C9">
        <w:rPr>
          <w:rFonts w:ascii="Times New Roman" w:eastAsia="Calibri" w:hAnsi="Times New Roman" w:cs="Times New Roman"/>
          <w:sz w:val="24"/>
          <w:szCs w:val="24"/>
        </w:rPr>
        <w:t>Basnett</w:t>
      </w:r>
      <w:proofErr w:type="spellEnd"/>
      <w:r w:rsidR="00FB53C9">
        <w:rPr>
          <w:rFonts w:ascii="Times New Roman" w:eastAsia="Calibri" w:hAnsi="Times New Roman" w:cs="Times New Roman"/>
          <w:sz w:val="24"/>
          <w:szCs w:val="24"/>
        </w:rPr>
        <w:t xml:space="preserve"> et al. (2012), et compte tenu de l’objectif de l’étude, il sera privilégié les dimensions de l’aide pour le commerce relative aux infrastructures d’une part puis au renforcement des capacités productives des subventions du MCA au Bénin </w:t>
      </w:r>
      <w:r w:rsidR="004F3470">
        <w:rPr>
          <w:rFonts w:ascii="Times New Roman" w:eastAsia="Calibri" w:hAnsi="Times New Roman" w:cs="Times New Roman"/>
          <w:sz w:val="24"/>
          <w:szCs w:val="24"/>
        </w:rPr>
        <w:t>dans son volet "accès au marché"</w:t>
      </w:r>
      <w:r w:rsidR="005819C3">
        <w:rPr>
          <w:rFonts w:ascii="Times New Roman" w:eastAsia="Calibri" w:hAnsi="Times New Roman" w:cs="Times New Roman"/>
          <w:sz w:val="24"/>
          <w:szCs w:val="24"/>
        </w:rPr>
        <w:t xml:space="preserve"> d’autre part</w:t>
      </w:r>
      <w:r w:rsidR="004F3470">
        <w:rPr>
          <w:rFonts w:ascii="Times New Roman" w:eastAsia="Calibri" w:hAnsi="Times New Roman" w:cs="Times New Roman"/>
          <w:sz w:val="24"/>
          <w:szCs w:val="24"/>
        </w:rPr>
        <w:t>.</w:t>
      </w:r>
      <w:r w:rsidR="00FB53C9">
        <w:rPr>
          <w:rFonts w:ascii="Times New Roman" w:eastAsia="Calibri" w:hAnsi="Times New Roman" w:cs="Times New Roman"/>
          <w:sz w:val="24"/>
          <w:szCs w:val="24"/>
        </w:rPr>
        <w:t xml:space="preserve"> </w:t>
      </w:r>
      <w:r w:rsidR="008B6243" w:rsidRPr="008B6243">
        <w:rPr>
          <w:rFonts w:ascii="Times New Roman" w:eastAsia="Calibri" w:hAnsi="Times New Roman" w:cs="Times New Roman"/>
          <w:sz w:val="24"/>
          <w:szCs w:val="24"/>
        </w:rPr>
        <w:t xml:space="preserve">Pour </w:t>
      </w:r>
      <w:proofErr w:type="spellStart"/>
      <w:r w:rsidR="008B6243" w:rsidRPr="008B6243">
        <w:rPr>
          <w:rFonts w:ascii="Times New Roman" w:eastAsia="Calibri" w:hAnsi="Times New Roman" w:cs="Times New Roman"/>
          <w:sz w:val="24"/>
          <w:szCs w:val="24"/>
        </w:rPr>
        <w:t>Adhikari</w:t>
      </w:r>
      <w:proofErr w:type="spellEnd"/>
      <w:r w:rsidR="008B6243" w:rsidRPr="008B6243">
        <w:rPr>
          <w:rFonts w:ascii="Times New Roman" w:eastAsia="Calibri" w:hAnsi="Times New Roman" w:cs="Times New Roman"/>
          <w:sz w:val="24"/>
          <w:szCs w:val="24"/>
        </w:rPr>
        <w:t xml:space="preserve"> (2011), ces deux </w:t>
      </w:r>
      <w:r w:rsidR="005B4509" w:rsidRPr="008B6243">
        <w:rPr>
          <w:rFonts w:ascii="Times New Roman" w:eastAsia="Calibri" w:hAnsi="Times New Roman" w:cs="Times New Roman"/>
          <w:sz w:val="24"/>
          <w:szCs w:val="24"/>
        </w:rPr>
        <w:t>catégories</w:t>
      </w:r>
      <w:r w:rsidR="008B6243" w:rsidRPr="008B6243">
        <w:rPr>
          <w:rFonts w:ascii="Times New Roman" w:eastAsia="Calibri" w:hAnsi="Times New Roman" w:cs="Times New Roman"/>
          <w:sz w:val="24"/>
          <w:szCs w:val="24"/>
        </w:rPr>
        <w:t xml:space="preserve"> permettent d’adresser spécifiquement les c</w:t>
      </w:r>
      <w:r w:rsidR="008B6243">
        <w:rPr>
          <w:rFonts w:ascii="Times New Roman" w:eastAsia="Calibri" w:hAnsi="Times New Roman" w:cs="Times New Roman"/>
          <w:sz w:val="24"/>
          <w:szCs w:val="24"/>
        </w:rPr>
        <w:t>ontraintes d’offre des pays en développement en général et des PMA en particulier comptant pour environ 95% de l’aide totale dans le cadre de la facilitation des échanges.</w:t>
      </w:r>
    </w:p>
    <w:p w:rsidR="006F5E31" w:rsidRDefault="006F5E31" w:rsidP="00D9166A">
      <w:pPr>
        <w:spacing w:before="120" w:after="120"/>
        <w:jc w:val="both"/>
        <w:rPr>
          <w:rFonts w:ascii="Times New Roman" w:eastAsia="Calibri" w:hAnsi="Times New Roman" w:cs="Times New Roman"/>
          <w:sz w:val="24"/>
          <w:szCs w:val="24"/>
        </w:rPr>
      </w:pPr>
      <w:proofErr w:type="spellStart"/>
      <w:r w:rsidRPr="006F5E31">
        <w:rPr>
          <w:rFonts w:ascii="Times New Roman" w:eastAsia="Calibri" w:hAnsi="Times New Roman" w:cs="Times New Roman"/>
          <w:sz w:val="24"/>
          <w:szCs w:val="24"/>
        </w:rPr>
        <w:t>Adhikari</w:t>
      </w:r>
      <w:proofErr w:type="spellEnd"/>
      <w:r w:rsidRPr="006F5E31">
        <w:rPr>
          <w:rFonts w:ascii="Times New Roman" w:eastAsia="Calibri" w:hAnsi="Times New Roman" w:cs="Times New Roman"/>
          <w:sz w:val="24"/>
          <w:szCs w:val="24"/>
        </w:rPr>
        <w:t xml:space="preserve"> (2011) propose une méthodologie s</w:t>
      </w:r>
      <w:r>
        <w:rPr>
          <w:rFonts w:ascii="Times New Roman" w:eastAsia="Calibri" w:hAnsi="Times New Roman" w:cs="Times New Roman"/>
          <w:sz w:val="24"/>
          <w:szCs w:val="24"/>
        </w:rPr>
        <w:t xml:space="preserve">pécifique pour apprécier l’effet de l’aide pour le commerce dans les pays bénéficiaires, ceci en fonction de la disponibilité de données. </w:t>
      </w:r>
      <w:r w:rsidRPr="006F5E31">
        <w:rPr>
          <w:rFonts w:ascii="Times New Roman" w:eastAsia="Calibri" w:hAnsi="Times New Roman" w:cs="Times New Roman"/>
          <w:sz w:val="24"/>
          <w:szCs w:val="24"/>
        </w:rPr>
        <w:t>Elle inclut notamment, la trajectoire des flux d’aide, l</w:t>
      </w:r>
      <w:r w:rsidR="008B017E">
        <w:rPr>
          <w:rFonts w:ascii="Times New Roman" w:eastAsia="Calibri" w:hAnsi="Times New Roman" w:cs="Times New Roman"/>
          <w:sz w:val="24"/>
          <w:szCs w:val="24"/>
        </w:rPr>
        <w:t>e le</w:t>
      </w:r>
      <w:r w:rsidRPr="006F5E31">
        <w:rPr>
          <w:rFonts w:ascii="Times New Roman" w:eastAsia="Calibri" w:hAnsi="Times New Roman" w:cs="Times New Roman"/>
          <w:sz w:val="24"/>
          <w:szCs w:val="24"/>
        </w:rPr>
        <w:t>a</w:t>
      </w:r>
      <w:r w:rsidR="008B017E">
        <w:rPr>
          <w:rFonts w:ascii="Times New Roman" w:eastAsia="Calibri" w:hAnsi="Times New Roman" w:cs="Times New Roman"/>
          <w:sz w:val="24"/>
          <w:szCs w:val="24"/>
        </w:rPr>
        <w:t>dership</w:t>
      </w:r>
      <w:r>
        <w:rPr>
          <w:rFonts w:ascii="Times New Roman" w:eastAsia="Calibri" w:hAnsi="Times New Roman" w:cs="Times New Roman"/>
          <w:sz w:val="24"/>
          <w:szCs w:val="24"/>
        </w:rPr>
        <w:t xml:space="preserve">, l’alignement, la coordination entre donateurs, la coopération Sud-Sud, les limitations de capacités d’absorption des pays, la cohérence avec la soutenabilité environnementale, les impacts macroéconomiques </w:t>
      </w:r>
      <w:r w:rsidR="008B017E">
        <w:rPr>
          <w:rFonts w:ascii="Times New Roman" w:eastAsia="Calibri" w:hAnsi="Times New Roman" w:cs="Times New Roman"/>
          <w:sz w:val="24"/>
          <w:szCs w:val="24"/>
        </w:rPr>
        <w:t>puis</w:t>
      </w:r>
      <w:r>
        <w:rPr>
          <w:rFonts w:ascii="Times New Roman" w:eastAsia="Calibri" w:hAnsi="Times New Roman" w:cs="Times New Roman"/>
          <w:sz w:val="24"/>
          <w:szCs w:val="24"/>
        </w:rPr>
        <w:t xml:space="preserve"> les impacts microéconomiques à travers l’étude de cas.</w:t>
      </w:r>
      <w:r w:rsidR="008B017E">
        <w:rPr>
          <w:rFonts w:ascii="Times New Roman" w:eastAsia="Calibri" w:hAnsi="Times New Roman" w:cs="Times New Roman"/>
          <w:sz w:val="24"/>
          <w:szCs w:val="24"/>
        </w:rPr>
        <w:t xml:space="preserve"> La méthodologie ici s’inspire largement de la matrice des éléments, indicateurs et sources proposée par </w:t>
      </w:r>
      <w:proofErr w:type="spellStart"/>
      <w:r w:rsidR="008B017E" w:rsidRPr="00DB723F">
        <w:rPr>
          <w:rFonts w:ascii="Times New Roman" w:eastAsia="Calibri" w:hAnsi="Times New Roman" w:cs="Times New Roman"/>
          <w:sz w:val="24"/>
          <w:szCs w:val="24"/>
        </w:rPr>
        <w:t>Adhikari</w:t>
      </w:r>
      <w:proofErr w:type="spellEnd"/>
      <w:r w:rsidR="008B017E" w:rsidRPr="00DB723F">
        <w:rPr>
          <w:rFonts w:ascii="Times New Roman" w:eastAsia="Calibri" w:hAnsi="Times New Roman" w:cs="Times New Roman"/>
          <w:sz w:val="24"/>
          <w:szCs w:val="24"/>
        </w:rPr>
        <w:t xml:space="preserve"> (2011)</w:t>
      </w:r>
      <w:r w:rsidR="008B017E">
        <w:rPr>
          <w:rFonts w:ascii="Times New Roman" w:eastAsia="Calibri" w:hAnsi="Times New Roman" w:cs="Times New Roman"/>
          <w:sz w:val="24"/>
          <w:szCs w:val="24"/>
        </w:rPr>
        <w:t xml:space="preserve"> pour apprécier les effets de l’aide pour le commerce.</w:t>
      </w:r>
    </w:p>
    <w:p w:rsidR="00037F11" w:rsidRDefault="00037F11" w:rsidP="00D9166A">
      <w:pPr>
        <w:spacing w:before="120" w:after="120"/>
        <w:jc w:val="both"/>
        <w:rPr>
          <w:rFonts w:ascii="Times New Roman" w:eastAsia="Calibri" w:hAnsi="Times New Roman" w:cs="Times New Roman"/>
          <w:sz w:val="24"/>
          <w:szCs w:val="24"/>
        </w:rPr>
      </w:pPr>
    </w:p>
    <w:p w:rsidR="00037F11" w:rsidRPr="00280711" w:rsidRDefault="00037F11" w:rsidP="00D9166A">
      <w:pPr>
        <w:spacing w:before="120" w:after="120"/>
        <w:jc w:val="both"/>
        <w:rPr>
          <w:rFonts w:ascii="Times New Roman" w:eastAsia="Calibri" w:hAnsi="Times New Roman" w:cs="Times New Roman"/>
          <w:b/>
          <w:i/>
          <w:sz w:val="24"/>
          <w:szCs w:val="24"/>
        </w:rPr>
      </w:pPr>
      <w:r w:rsidRPr="00280711">
        <w:rPr>
          <w:rFonts w:ascii="Times New Roman" w:eastAsia="Calibri" w:hAnsi="Times New Roman" w:cs="Times New Roman"/>
          <w:b/>
          <w:i/>
          <w:sz w:val="24"/>
          <w:szCs w:val="24"/>
        </w:rPr>
        <w:t>Nature et sources des variables</w:t>
      </w:r>
    </w:p>
    <w:p w:rsidR="00037F11" w:rsidRDefault="008D4082" w:rsidP="00037F11">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Les données spécifiques sur les variables d’intérêt s’inspirent de l’approche méthodologique proposée par </w:t>
      </w:r>
      <w:proofErr w:type="spellStart"/>
      <w:r w:rsidRPr="00DB723F">
        <w:rPr>
          <w:rFonts w:ascii="Times New Roman" w:eastAsia="Calibri" w:hAnsi="Times New Roman" w:cs="Times New Roman"/>
          <w:sz w:val="24"/>
          <w:szCs w:val="24"/>
        </w:rPr>
        <w:t>Adhikari</w:t>
      </w:r>
      <w:proofErr w:type="spellEnd"/>
      <w:r w:rsidRPr="00DB723F">
        <w:rPr>
          <w:rFonts w:ascii="Times New Roman" w:eastAsia="Calibri" w:hAnsi="Times New Roman" w:cs="Times New Roman"/>
          <w:sz w:val="24"/>
          <w:szCs w:val="24"/>
        </w:rPr>
        <w:t xml:space="preserve"> (2011)</w:t>
      </w:r>
      <w:r>
        <w:rPr>
          <w:rFonts w:ascii="Times New Roman" w:eastAsia="Calibri" w:hAnsi="Times New Roman" w:cs="Times New Roman"/>
          <w:sz w:val="24"/>
          <w:szCs w:val="24"/>
        </w:rPr>
        <w:t> ; elles sont issues de différentes sources</w:t>
      </w:r>
      <w:r w:rsidR="005C6B3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0524D">
        <w:rPr>
          <w:rFonts w:ascii="Times New Roman" w:eastAsia="Calibri" w:hAnsi="Times New Roman" w:cs="Times New Roman"/>
          <w:sz w:val="24"/>
          <w:szCs w:val="24"/>
        </w:rPr>
        <w:t xml:space="preserve">Les flux d’aide </w:t>
      </w:r>
      <w:r>
        <w:rPr>
          <w:rFonts w:ascii="Times New Roman" w:eastAsia="Calibri" w:hAnsi="Times New Roman" w:cs="Times New Roman"/>
          <w:sz w:val="24"/>
          <w:szCs w:val="24"/>
        </w:rPr>
        <w:t>relevant de l’appui du MC</w:t>
      </w:r>
      <w:r w:rsidR="00D20E47">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00B0524D">
        <w:rPr>
          <w:rFonts w:ascii="Times New Roman" w:eastAsia="Calibri" w:hAnsi="Times New Roman" w:cs="Times New Roman"/>
          <w:sz w:val="24"/>
          <w:szCs w:val="24"/>
        </w:rPr>
        <w:t>dans les différentes rubriques</w:t>
      </w:r>
      <w:r w:rsidR="00DB723F">
        <w:rPr>
          <w:rFonts w:ascii="Times New Roman" w:eastAsia="Calibri" w:hAnsi="Times New Roman" w:cs="Times New Roman"/>
          <w:sz w:val="24"/>
          <w:szCs w:val="24"/>
        </w:rPr>
        <w:t xml:space="preserve"> comme indiquées dans l</w:t>
      </w:r>
      <w:r w:rsidR="005819C3">
        <w:rPr>
          <w:rFonts w:ascii="Times New Roman" w:eastAsia="Calibri" w:hAnsi="Times New Roman" w:cs="Times New Roman"/>
          <w:sz w:val="24"/>
          <w:szCs w:val="24"/>
        </w:rPr>
        <w:t>e</w:t>
      </w:r>
      <w:r w:rsidR="00DB723F">
        <w:rPr>
          <w:rFonts w:ascii="Times New Roman" w:eastAsia="Calibri" w:hAnsi="Times New Roman" w:cs="Times New Roman"/>
          <w:sz w:val="24"/>
          <w:szCs w:val="24"/>
        </w:rPr>
        <w:t xml:space="preserve"> table</w:t>
      </w:r>
      <w:r w:rsidR="005819C3">
        <w:rPr>
          <w:rFonts w:ascii="Times New Roman" w:eastAsia="Calibri" w:hAnsi="Times New Roman" w:cs="Times New Roman"/>
          <w:sz w:val="24"/>
          <w:szCs w:val="24"/>
        </w:rPr>
        <w:t>au</w:t>
      </w:r>
      <w:r w:rsidR="00DB723F">
        <w:rPr>
          <w:rFonts w:ascii="Times New Roman" w:eastAsia="Calibri" w:hAnsi="Times New Roman" w:cs="Times New Roman"/>
          <w:sz w:val="24"/>
          <w:szCs w:val="24"/>
        </w:rPr>
        <w:t xml:space="preserve"> 1 sont d’une grande importance dans le cadre de l’analyse</w:t>
      </w:r>
      <w:r>
        <w:rPr>
          <w:rFonts w:ascii="Times New Roman" w:eastAsia="Calibri" w:hAnsi="Times New Roman" w:cs="Times New Roman"/>
          <w:sz w:val="24"/>
          <w:szCs w:val="24"/>
        </w:rPr>
        <w:t>.</w:t>
      </w:r>
      <w:r w:rsidR="00037F11">
        <w:rPr>
          <w:rFonts w:ascii="Times New Roman" w:eastAsia="Calibri" w:hAnsi="Times New Roman" w:cs="Times New Roman"/>
          <w:sz w:val="24"/>
          <w:szCs w:val="24"/>
        </w:rPr>
        <w:t xml:space="preserve"> Les statistiques </w:t>
      </w:r>
      <w:r>
        <w:rPr>
          <w:rFonts w:ascii="Times New Roman" w:eastAsia="Calibri" w:hAnsi="Times New Roman" w:cs="Times New Roman"/>
          <w:sz w:val="24"/>
          <w:szCs w:val="24"/>
        </w:rPr>
        <w:t xml:space="preserve">y relatives </w:t>
      </w:r>
      <w:r w:rsidR="00037F11">
        <w:rPr>
          <w:rFonts w:ascii="Times New Roman" w:eastAsia="Calibri" w:hAnsi="Times New Roman" w:cs="Times New Roman"/>
          <w:sz w:val="24"/>
          <w:szCs w:val="24"/>
        </w:rPr>
        <w:t xml:space="preserve">sont fournies par MCA au Bénin. </w:t>
      </w:r>
      <w:r w:rsidR="00B130B8">
        <w:rPr>
          <w:rFonts w:ascii="Times New Roman" w:eastAsia="Calibri" w:hAnsi="Times New Roman" w:cs="Times New Roman"/>
          <w:sz w:val="24"/>
          <w:szCs w:val="24"/>
        </w:rPr>
        <w:t xml:space="preserve">Les données relatives aux indicateurs de performances au Port Autonome de Cotonou et dans le domaine du commerce transfrontalier sont collectées auprès des </w:t>
      </w:r>
      <w:r w:rsidR="00B130B8" w:rsidRPr="005456F7">
        <w:rPr>
          <w:rFonts w:ascii="Times New Roman" w:hAnsi="Times New Roman" w:cs="Times New Roman"/>
          <w:sz w:val="24"/>
          <w:szCs w:val="24"/>
        </w:rPr>
        <w:t>structures impliquées dans la conception, la mise en œuvre et le suivi des réformes</w:t>
      </w:r>
      <w:r w:rsidR="00B130B8" w:rsidRPr="005456F7">
        <w:rPr>
          <w:rFonts w:ascii="Times New Roman" w:eastAsia="Calibri" w:hAnsi="Times New Roman" w:cs="Times New Roman"/>
          <w:sz w:val="24"/>
          <w:szCs w:val="24"/>
        </w:rPr>
        <w:t> </w:t>
      </w:r>
      <w:r w:rsidR="00B130B8">
        <w:rPr>
          <w:rFonts w:ascii="Times New Roman" w:eastAsia="Calibri" w:hAnsi="Times New Roman" w:cs="Times New Roman"/>
          <w:sz w:val="24"/>
          <w:szCs w:val="24"/>
        </w:rPr>
        <w:t xml:space="preserve">sous revues </w:t>
      </w:r>
      <w:r w:rsidR="00B130B8" w:rsidRPr="005456F7">
        <w:rPr>
          <w:rFonts w:ascii="Times New Roman" w:eastAsia="Calibri" w:hAnsi="Times New Roman" w:cs="Times New Roman"/>
          <w:sz w:val="24"/>
          <w:szCs w:val="24"/>
        </w:rPr>
        <w:t>à savoir, le C</w:t>
      </w:r>
      <w:r w:rsidR="00B130B8">
        <w:rPr>
          <w:rFonts w:ascii="Times New Roman" w:eastAsia="Calibri" w:hAnsi="Times New Roman" w:cs="Times New Roman"/>
          <w:sz w:val="24"/>
          <w:szCs w:val="24"/>
        </w:rPr>
        <w:t xml:space="preserve">onseil </w:t>
      </w:r>
      <w:r w:rsidR="00B130B8" w:rsidRPr="005456F7">
        <w:rPr>
          <w:rFonts w:ascii="Times New Roman" w:eastAsia="Calibri" w:hAnsi="Times New Roman" w:cs="Times New Roman"/>
          <w:sz w:val="24"/>
          <w:szCs w:val="24"/>
        </w:rPr>
        <w:t>P</w:t>
      </w:r>
      <w:r w:rsidR="00B130B8">
        <w:rPr>
          <w:rFonts w:ascii="Times New Roman" w:eastAsia="Calibri" w:hAnsi="Times New Roman" w:cs="Times New Roman"/>
          <w:sz w:val="24"/>
          <w:szCs w:val="24"/>
        </w:rPr>
        <w:t>résidentiel de l’investissement</w:t>
      </w:r>
      <w:r w:rsidR="00B130B8" w:rsidRPr="005456F7">
        <w:rPr>
          <w:rFonts w:ascii="Times New Roman" w:eastAsia="Calibri" w:hAnsi="Times New Roman" w:cs="Times New Roman"/>
          <w:sz w:val="24"/>
          <w:szCs w:val="24"/>
        </w:rPr>
        <w:t>, la S</w:t>
      </w:r>
      <w:r w:rsidR="00B130B8">
        <w:rPr>
          <w:rFonts w:ascii="Times New Roman" w:eastAsia="Calibri" w:hAnsi="Times New Roman" w:cs="Times New Roman"/>
          <w:sz w:val="24"/>
          <w:szCs w:val="24"/>
        </w:rPr>
        <w:t>ociété d’</w:t>
      </w:r>
      <w:r w:rsidR="00B130B8" w:rsidRPr="005456F7">
        <w:rPr>
          <w:rFonts w:ascii="Times New Roman" w:eastAsia="Calibri" w:hAnsi="Times New Roman" w:cs="Times New Roman"/>
          <w:sz w:val="24"/>
          <w:szCs w:val="24"/>
        </w:rPr>
        <w:t>E</w:t>
      </w:r>
      <w:r w:rsidR="00B130B8">
        <w:rPr>
          <w:rFonts w:ascii="Times New Roman" w:eastAsia="Calibri" w:hAnsi="Times New Roman" w:cs="Times New Roman"/>
          <w:sz w:val="24"/>
          <w:szCs w:val="24"/>
        </w:rPr>
        <w:t xml:space="preserve">xploitation du </w:t>
      </w:r>
      <w:r w:rsidR="00B130B8" w:rsidRPr="005456F7">
        <w:rPr>
          <w:rFonts w:ascii="Times New Roman" w:eastAsia="Calibri" w:hAnsi="Times New Roman" w:cs="Times New Roman"/>
          <w:sz w:val="24"/>
          <w:szCs w:val="24"/>
        </w:rPr>
        <w:t>G</w:t>
      </w:r>
      <w:r w:rsidR="00B130B8">
        <w:rPr>
          <w:rFonts w:ascii="Times New Roman" w:eastAsia="Calibri" w:hAnsi="Times New Roman" w:cs="Times New Roman"/>
          <w:sz w:val="24"/>
          <w:szCs w:val="24"/>
        </w:rPr>
        <w:t xml:space="preserve">uichet </w:t>
      </w:r>
      <w:r w:rsidR="00B130B8" w:rsidRPr="005456F7">
        <w:rPr>
          <w:rFonts w:ascii="Times New Roman" w:eastAsia="Calibri" w:hAnsi="Times New Roman" w:cs="Times New Roman"/>
          <w:sz w:val="24"/>
          <w:szCs w:val="24"/>
        </w:rPr>
        <w:t>U</w:t>
      </w:r>
      <w:r w:rsidR="00B130B8">
        <w:rPr>
          <w:rFonts w:ascii="Times New Roman" w:eastAsia="Calibri" w:hAnsi="Times New Roman" w:cs="Times New Roman"/>
          <w:sz w:val="24"/>
          <w:szCs w:val="24"/>
        </w:rPr>
        <w:t xml:space="preserve">nique du </w:t>
      </w:r>
      <w:r w:rsidR="00B130B8" w:rsidRPr="005456F7">
        <w:rPr>
          <w:rFonts w:ascii="Times New Roman" w:eastAsia="Calibri" w:hAnsi="Times New Roman" w:cs="Times New Roman"/>
          <w:sz w:val="24"/>
          <w:szCs w:val="24"/>
        </w:rPr>
        <w:t>B</w:t>
      </w:r>
      <w:r w:rsidR="00B130B8">
        <w:rPr>
          <w:rFonts w:ascii="Times New Roman" w:eastAsia="Calibri" w:hAnsi="Times New Roman" w:cs="Times New Roman"/>
          <w:sz w:val="24"/>
          <w:szCs w:val="24"/>
        </w:rPr>
        <w:t>énin</w:t>
      </w:r>
      <w:r w:rsidR="00B130B8" w:rsidRPr="005456F7">
        <w:rPr>
          <w:rFonts w:ascii="Times New Roman" w:eastAsia="Calibri" w:hAnsi="Times New Roman" w:cs="Times New Roman"/>
          <w:sz w:val="24"/>
          <w:szCs w:val="24"/>
        </w:rPr>
        <w:t>, la D</w:t>
      </w:r>
      <w:r w:rsidR="00B130B8">
        <w:rPr>
          <w:rFonts w:ascii="Times New Roman" w:eastAsia="Calibri" w:hAnsi="Times New Roman" w:cs="Times New Roman"/>
          <w:sz w:val="24"/>
          <w:szCs w:val="24"/>
        </w:rPr>
        <w:t xml:space="preserve">irection </w:t>
      </w:r>
      <w:r w:rsidR="00B130B8" w:rsidRPr="005456F7">
        <w:rPr>
          <w:rFonts w:ascii="Times New Roman" w:eastAsia="Calibri" w:hAnsi="Times New Roman" w:cs="Times New Roman"/>
          <w:sz w:val="24"/>
          <w:szCs w:val="24"/>
        </w:rPr>
        <w:t>G</w:t>
      </w:r>
      <w:r w:rsidR="00B130B8">
        <w:rPr>
          <w:rFonts w:ascii="Times New Roman" w:eastAsia="Calibri" w:hAnsi="Times New Roman" w:cs="Times New Roman"/>
          <w:sz w:val="24"/>
          <w:szCs w:val="24"/>
        </w:rPr>
        <w:t xml:space="preserve">énérale des </w:t>
      </w:r>
      <w:r w:rsidR="00B130B8" w:rsidRPr="005456F7">
        <w:rPr>
          <w:rFonts w:ascii="Times New Roman" w:eastAsia="Calibri" w:hAnsi="Times New Roman" w:cs="Times New Roman"/>
          <w:sz w:val="24"/>
          <w:szCs w:val="24"/>
        </w:rPr>
        <w:t>D</w:t>
      </w:r>
      <w:r w:rsidR="00B130B8">
        <w:rPr>
          <w:rFonts w:ascii="Times New Roman" w:eastAsia="Calibri" w:hAnsi="Times New Roman" w:cs="Times New Roman"/>
          <w:sz w:val="24"/>
          <w:szCs w:val="24"/>
        </w:rPr>
        <w:t xml:space="preserve">ouanes et </w:t>
      </w:r>
      <w:r w:rsidR="00B130B8" w:rsidRPr="005456F7">
        <w:rPr>
          <w:rFonts w:ascii="Times New Roman" w:eastAsia="Calibri" w:hAnsi="Times New Roman" w:cs="Times New Roman"/>
          <w:sz w:val="24"/>
          <w:szCs w:val="24"/>
        </w:rPr>
        <w:t>D</w:t>
      </w:r>
      <w:r w:rsidR="00B130B8">
        <w:rPr>
          <w:rFonts w:ascii="Times New Roman" w:eastAsia="Calibri" w:hAnsi="Times New Roman" w:cs="Times New Roman"/>
          <w:sz w:val="24"/>
          <w:szCs w:val="24"/>
        </w:rPr>
        <w:t xml:space="preserve">roit </w:t>
      </w:r>
      <w:r w:rsidR="00B130B8" w:rsidRPr="005456F7">
        <w:rPr>
          <w:rFonts w:ascii="Times New Roman" w:eastAsia="Calibri" w:hAnsi="Times New Roman" w:cs="Times New Roman"/>
          <w:sz w:val="24"/>
          <w:szCs w:val="24"/>
        </w:rPr>
        <w:t>I</w:t>
      </w:r>
      <w:r w:rsidR="00B130B8">
        <w:rPr>
          <w:rFonts w:ascii="Times New Roman" w:eastAsia="Calibri" w:hAnsi="Times New Roman" w:cs="Times New Roman"/>
          <w:sz w:val="24"/>
          <w:szCs w:val="24"/>
        </w:rPr>
        <w:t>ndirects</w:t>
      </w:r>
      <w:r w:rsidR="005B4509">
        <w:rPr>
          <w:rFonts w:ascii="Times New Roman" w:eastAsia="Calibri" w:hAnsi="Times New Roman" w:cs="Times New Roman"/>
          <w:sz w:val="24"/>
          <w:szCs w:val="24"/>
        </w:rPr>
        <w:t xml:space="preserve"> et</w:t>
      </w:r>
      <w:r w:rsidR="00B130B8" w:rsidRPr="005456F7">
        <w:rPr>
          <w:rFonts w:ascii="Times New Roman" w:eastAsia="Calibri" w:hAnsi="Times New Roman" w:cs="Times New Roman"/>
          <w:sz w:val="24"/>
          <w:szCs w:val="24"/>
        </w:rPr>
        <w:t xml:space="preserve"> le P</w:t>
      </w:r>
      <w:r w:rsidR="005B4509">
        <w:rPr>
          <w:rFonts w:ascii="Times New Roman" w:eastAsia="Calibri" w:hAnsi="Times New Roman" w:cs="Times New Roman"/>
          <w:sz w:val="24"/>
          <w:szCs w:val="24"/>
        </w:rPr>
        <w:t xml:space="preserve">ort </w:t>
      </w:r>
      <w:r w:rsidR="00B130B8" w:rsidRPr="005456F7">
        <w:rPr>
          <w:rFonts w:ascii="Times New Roman" w:eastAsia="Calibri" w:hAnsi="Times New Roman" w:cs="Times New Roman"/>
          <w:sz w:val="24"/>
          <w:szCs w:val="24"/>
        </w:rPr>
        <w:lastRenderedPageBreak/>
        <w:t>A</w:t>
      </w:r>
      <w:r w:rsidR="005B4509">
        <w:rPr>
          <w:rFonts w:ascii="Times New Roman" w:eastAsia="Calibri" w:hAnsi="Times New Roman" w:cs="Times New Roman"/>
          <w:sz w:val="24"/>
          <w:szCs w:val="24"/>
        </w:rPr>
        <w:t xml:space="preserve">utonome de </w:t>
      </w:r>
      <w:r w:rsidR="00B130B8" w:rsidRPr="005456F7">
        <w:rPr>
          <w:rFonts w:ascii="Times New Roman" w:eastAsia="Calibri" w:hAnsi="Times New Roman" w:cs="Times New Roman"/>
          <w:sz w:val="24"/>
          <w:szCs w:val="24"/>
        </w:rPr>
        <w:t>C</w:t>
      </w:r>
      <w:r w:rsidR="005B4509">
        <w:rPr>
          <w:rFonts w:ascii="Times New Roman" w:eastAsia="Calibri" w:hAnsi="Times New Roman" w:cs="Times New Roman"/>
          <w:sz w:val="24"/>
          <w:szCs w:val="24"/>
        </w:rPr>
        <w:t>otonou</w:t>
      </w:r>
      <w:r w:rsidR="00B130B8" w:rsidRPr="005456F7">
        <w:rPr>
          <w:rFonts w:ascii="Times New Roman" w:eastAsia="Calibri" w:hAnsi="Times New Roman" w:cs="Times New Roman"/>
          <w:sz w:val="24"/>
          <w:szCs w:val="24"/>
        </w:rPr>
        <w:t>.</w:t>
      </w:r>
      <w:r w:rsidR="005B4509">
        <w:rPr>
          <w:rFonts w:ascii="Times New Roman" w:eastAsia="Calibri" w:hAnsi="Times New Roman" w:cs="Times New Roman"/>
          <w:sz w:val="24"/>
          <w:szCs w:val="24"/>
        </w:rPr>
        <w:t xml:space="preserve"> </w:t>
      </w:r>
      <w:r>
        <w:rPr>
          <w:rFonts w:ascii="Times New Roman" w:eastAsia="Calibri" w:hAnsi="Times New Roman" w:cs="Times New Roman"/>
          <w:sz w:val="24"/>
          <w:szCs w:val="24"/>
        </w:rPr>
        <w:t>Elles concernent, le v</w:t>
      </w:r>
      <w:r w:rsidRPr="00DB723F">
        <w:rPr>
          <w:rFonts w:ascii="Times New Roman" w:eastAsia="Times New Roman" w:hAnsi="Times New Roman" w:cs="Times New Roman"/>
          <w:color w:val="000000"/>
          <w:sz w:val="24"/>
        </w:rPr>
        <w:t xml:space="preserve">olume des marchandises passant par le </w:t>
      </w:r>
      <w:r>
        <w:rPr>
          <w:rFonts w:ascii="Times New Roman" w:eastAsia="Times New Roman" w:hAnsi="Times New Roman" w:cs="Times New Roman"/>
          <w:color w:val="000000"/>
          <w:sz w:val="24"/>
        </w:rPr>
        <w:t>PAC, la d</w:t>
      </w:r>
      <w:r w:rsidRPr="00DB723F">
        <w:rPr>
          <w:rFonts w:ascii="Times New Roman" w:eastAsia="Times New Roman" w:hAnsi="Times New Roman" w:cs="Times New Roman"/>
          <w:color w:val="000000"/>
          <w:sz w:val="24"/>
        </w:rPr>
        <w:t>urée de séjour des navires porte-conteneurs en rade</w:t>
      </w:r>
      <w:r>
        <w:rPr>
          <w:rFonts w:ascii="Times New Roman" w:eastAsia="Times New Roman" w:hAnsi="Times New Roman" w:cs="Times New Roman"/>
          <w:color w:val="000000"/>
          <w:sz w:val="24"/>
        </w:rPr>
        <w:t>, la</w:t>
      </w:r>
      <w:r w:rsidRPr="00DB723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d</w:t>
      </w:r>
      <w:r w:rsidRPr="00DB723F">
        <w:rPr>
          <w:rFonts w:ascii="Times New Roman" w:eastAsia="Times New Roman" w:hAnsi="Times New Roman" w:cs="Times New Roman"/>
          <w:color w:val="000000"/>
          <w:sz w:val="24"/>
        </w:rPr>
        <w:t>urée de séjour des navires porte-conteneurs à quai</w:t>
      </w:r>
      <w:r>
        <w:rPr>
          <w:rFonts w:ascii="Times New Roman" w:eastAsia="Times New Roman" w:hAnsi="Times New Roman" w:cs="Times New Roman"/>
          <w:color w:val="000000"/>
          <w:sz w:val="24"/>
        </w:rPr>
        <w:t>, le n</w:t>
      </w:r>
      <w:r w:rsidRPr="00DB723F">
        <w:rPr>
          <w:rFonts w:ascii="Times New Roman" w:eastAsia="Times New Roman" w:hAnsi="Times New Roman" w:cs="Times New Roman"/>
          <w:color w:val="000000"/>
          <w:sz w:val="24"/>
        </w:rPr>
        <w:t>iveau de vols dans l'enceinte portuaire </w:t>
      </w:r>
      <w:r>
        <w:rPr>
          <w:rFonts w:ascii="Times New Roman" w:eastAsia="Times New Roman" w:hAnsi="Times New Roman" w:cs="Times New Roman"/>
          <w:color w:val="000000"/>
          <w:sz w:val="24"/>
        </w:rPr>
        <w:t xml:space="preserve">comme proxy de la sécurité des opérations, le temps d’attente des camions gros porteurs au port puis le temps de transit douanier. </w:t>
      </w:r>
      <w:r w:rsidR="007D6265">
        <w:rPr>
          <w:rFonts w:ascii="Times New Roman" w:eastAsia="Times New Roman" w:hAnsi="Times New Roman" w:cs="Times New Roman"/>
          <w:color w:val="000000"/>
          <w:sz w:val="24"/>
        </w:rPr>
        <w:t xml:space="preserve">Les données y relatives proviennent du MCA Bénin. </w:t>
      </w:r>
      <w:r w:rsidR="00037F11">
        <w:rPr>
          <w:rFonts w:ascii="Times New Roman" w:eastAsia="Calibri" w:hAnsi="Times New Roman" w:cs="Times New Roman"/>
          <w:sz w:val="24"/>
          <w:szCs w:val="24"/>
        </w:rPr>
        <w:t>Par ailleurs, comme pour la plupart des études antérieures, les données secondaires sur l’aide proviennent de la base de l’OCDE</w:t>
      </w:r>
      <w:r w:rsidR="00037F11">
        <w:rPr>
          <w:rStyle w:val="Appelnotedebasdep"/>
          <w:rFonts w:ascii="Times New Roman" w:eastAsia="Calibri" w:hAnsi="Times New Roman" w:cs="Times New Roman"/>
          <w:sz w:val="24"/>
          <w:szCs w:val="24"/>
        </w:rPr>
        <w:footnoteReference w:id="7"/>
      </w:r>
      <w:r w:rsidR="00037F11">
        <w:rPr>
          <w:rFonts w:ascii="Times New Roman" w:eastAsia="Calibri" w:hAnsi="Times New Roman" w:cs="Times New Roman"/>
          <w:sz w:val="24"/>
          <w:szCs w:val="24"/>
        </w:rPr>
        <w:t>.</w:t>
      </w:r>
    </w:p>
    <w:p w:rsidR="00037F11" w:rsidRPr="009748EF" w:rsidRDefault="00037F11" w:rsidP="00D9166A">
      <w:pPr>
        <w:spacing w:before="120" w:after="120"/>
        <w:jc w:val="both"/>
        <w:rPr>
          <w:rFonts w:ascii="Times New Roman" w:eastAsia="Calibri" w:hAnsi="Times New Roman" w:cs="Times New Roman"/>
          <w:sz w:val="24"/>
          <w:szCs w:val="24"/>
        </w:rPr>
      </w:pPr>
    </w:p>
    <w:p w:rsidR="00037F11" w:rsidRPr="00280711" w:rsidRDefault="007D6265" w:rsidP="00D9166A">
      <w:pPr>
        <w:spacing w:before="120" w:after="120"/>
        <w:jc w:val="both"/>
        <w:rPr>
          <w:rFonts w:ascii="Times New Roman" w:eastAsia="Calibri" w:hAnsi="Times New Roman" w:cs="Times New Roman"/>
          <w:b/>
          <w:i/>
          <w:sz w:val="24"/>
          <w:szCs w:val="24"/>
        </w:rPr>
      </w:pPr>
      <w:r w:rsidRPr="00280711">
        <w:rPr>
          <w:rFonts w:ascii="Times New Roman" w:eastAsia="Calibri" w:hAnsi="Times New Roman" w:cs="Times New Roman"/>
          <w:b/>
          <w:i/>
          <w:sz w:val="24"/>
          <w:szCs w:val="24"/>
        </w:rPr>
        <w:t>M</w:t>
      </w:r>
      <w:r w:rsidR="00037F11" w:rsidRPr="00280711">
        <w:rPr>
          <w:rFonts w:ascii="Times New Roman" w:eastAsia="Calibri" w:hAnsi="Times New Roman" w:cs="Times New Roman"/>
          <w:b/>
          <w:i/>
          <w:sz w:val="24"/>
          <w:szCs w:val="24"/>
        </w:rPr>
        <w:t>éthode</w:t>
      </w:r>
      <w:r w:rsidRPr="00280711">
        <w:rPr>
          <w:rFonts w:ascii="Times New Roman" w:eastAsia="Calibri" w:hAnsi="Times New Roman" w:cs="Times New Roman"/>
          <w:b/>
          <w:i/>
          <w:sz w:val="24"/>
          <w:szCs w:val="24"/>
        </w:rPr>
        <w:t>, modèle</w:t>
      </w:r>
      <w:r w:rsidR="00037F11" w:rsidRPr="00280711">
        <w:rPr>
          <w:rFonts w:ascii="Times New Roman" w:eastAsia="Calibri" w:hAnsi="Times New Roman" w:cs="Times New Roman"/>
          <w:b/>
          <w:i/>
          <w:sz w:val="24"/>
          <w:szCs w:val="24"/>
        </w:rPr>
        <w:t xml:space="preserve"> et outils d’analyse</w:t>
      </w:r>
    </w:p>
    <w:p w:rsidR="007D6265" w:rsidRDefault="008D4082" w:rsidP="007D6265">
      <w:pPr>
        <w:spacing w:before="120" w:after="120"/>
        <w:jc w:val="both"/>
        <w:rPr>
          <w:rFonts w:ascii="Times New Roman" w:hAnsi="Times New Roman" w:cs="Times New Roman"/>
          <w:sz w:val="24"/>
          <w:szCs w:val="24"/>
        </w:rPr>
      </w:pPr>
      <w:r w:rsidRPr="005456F7">
        <w:rPr>
          <w:rFonts w:ascii="Times New Roman" w:eastAsia="Calibri" w:hAnsi="Times New Roman" w:cs="Times New Roman"/>
          <w:sz w:val="24"/>
          <w:szCs w:val="24"/>
        </w:rPr>
        <w:t xml:space="preserve">La méthodologie </w:t>
      </w:r>
      <w:r w:rsidR="00D012FB">
        <w:rPr>
          <w:rFonts w:ascii="Times New Roman" w:eastAsia="Calibri" w:hAnsi="Times New Roman" w:cs="Times New Roman"/>
          <w:sz w:val="24"/>
          <w:szCs w:val="24"/>
        </w:rPr>
        <w:t xml:space="preserve">inclut </w:t>
      </w:r>
      <w:r w:rsidRPr="005456F7">
        <w:rPr>
          <w:rFonts w:ascii="Times New Roman" w:eastAsia="Calibri" w:hAnsi="Times New Roman" w:cs="Times New Roman"/>
          <w:sz w:val="24"/>
          <w:szCs w:val="24"/>
        </w:rPr>
        <w:t>deux approches</w:t>
      </w:r>
      <w:r>
        <w:rPr>
          <w:rFonts w:ascii="Times New Roman" w:eastAsia="Calibri" w:hAnsi="Times New Roman" w:cs="Times New Roman"/>
          <w:sz w:val="24"/>
          <w:szCs w:val="24"/>
        </w:rPr>
        <w:t xml:space="preserve"> d’analyse mobilisées pour adresser la problématique des effets de l’aide américaine sur les performances au Port Autonome de Cotonou.</w:t>
      </w:r>
      <w:r w:rsidR="00797BC1">
        <w:rPr>
          <w:rFonts w:ascii="Times New Roman" w:eastAsia="Calibri" w:hAnsi="Times New Roman" w:cs="Times New Roman"/>
          <w:sz w:val="24"/>
          <w:szCs w:val="24"/>
        </w:rPr>
        <w:t xml:space="preserve"> A travers la première dimension, l</w:t>
      </w:r>
      <w:r w:rsidR="007D6265">
        <w:rPr>
          <w:rFonts w:ascii="Times New Roman" w:hAnsi="Times New Roman" w:cs="Times New Roman"/>
          <w:sz w:val="24"/>
          <w:szCs w:val="26"/>
        </w:rPr>
        <w:t>a dynamique d’évolution des variables de performances du Port sera appréciée dans le temps. Plus spécifiquement, cette première approche d’</w:t>
      </w:r>
      <w:r w:rsidR="007D6265" w:rsidRPr="005456F7">
        <w:rPr>
          <w:rFonts w:ascii="Times New Roman" w:hAnsi="Times New Roman" w:cs="Times New Roman"/>
          <w:sz w:val="24"/>
          <w:szCs w:val="24"/>
        </w:rPr>
        <w:t xml:space="preserve">analyse permet d’apprécier l’opportunité des investissements réalisés en termes de gains de temps et de réduction des coûts de transaction dans les opérations portuaires. </w:t>
      </w:r>
      <w:r w:rsidR="005819C3">
        <w:rPr>
          <w:rFonts w:ascii="Times New Roman" w:hAnsi="Times New Roman" w:cs="Times New Roman"/>
          <w:sz w:val="24"/>
          <w:szCs w:val="24"/>
        </w:rPr>
        <w:t>Les données synthétisées dans le</w:t>
      </w:r>
      <w:r w:rsidR="00DF0DEA">
        <w:rPr>
          <w:rFonts w:ascii="Times New Roman" w:hAnsi="Times New Roman" w:cs="Times New Roman"/>
          <w:sz w:val="24"/>
          <w:szCs w:val="24"/>
        </w:rPr>
        <w:t xml:space="preserve"> table</w:t>
      </w:r>
      <w:r w:rsidR="005819C3">
        <w:rPr>
          <w:rFonts w:ascii="Times New Roman" w:hAnsi="Times New Roman" w:cs="Times New Roman"/>
          <w:sz w:val="24"/>
          <w:szCs w:val="24"/>
        </w:rPr>
        <w:t>au</w:t>
      </w:r>
      <w:r w:rsidR="00DF0DEA">
        <w:rPr>
          <w:rFonts w:ascii="Times New Roman" w:hAnsi="Times New Roman" w:cs="Times New Roman"/>
          <w:sz w:val="24"/>
          <w:szCs w:val="24"/>
        </w:rPr>
        <w:t xml:space="preserve"> 3 ci-après </w:t>
      </w:r>
      <w:r w:rsidR="00987B21">
        <w:rPr>
          <w:rFonts w:ascii="Times New Roman" w:hAnsi="Times New Roman" w:cs="Times New Roman"/>
          <w:sz w:val="24"/>
          <w:szCs w:val="24"/>
        </w:rPr>
        <w:t>servent</w:t>
      </w:r>
      <w:r w:rsidR="00DF0DEA">
        <w:rPr>
          <w:rFonts w:ascii="Times New Roman" w:hAnsi="Times New Roman" w:cs="Times New Roman"/>
          <w:sz w:val="24"/>
          <w:szCs w:val="24"/>
        </w:rPr>
        <w:t xml:space="preserve"> de base à cette analyse.</w:t>
      </w:r>
    </w:p>
    <w:p w:rsidR="00691414" w:rsidRPr="00DF0DEA" w:rsidRDefault="00691414" w:rsidP="007D6265">
      <w:pPr>
        <w:spacing w:before="120" w:after="120"/>
        <w:jc w:val="both"/>
        <w:rPr>
          <w:rFonts w:ascii="Times New Roman" w:hAnsi="Times New Roman" w:cs="Times New Roman"/>
          <w:b/>
          <w:sz w:val="24"/>
          <w:szCs w:val="24"/>
        </w:rPr>
      </w:pPr>
      <w:r w:rsidRPr="00DF0DEA">
        <w:rPr>
          <w:rFonts w:ascii="Times New Roman" w:hAnsi="Times New Roman" w:cs="Times New Roman"/>
          <w:b/>
          <w:sz w:val="24"/>
          <w:szCs w:val="24"/>
        </w:rPr>
        <w:t>Table</w:t>
      </w:r>
      <w:r w:rsidR="005819C3">
        <w:rPr>
          <w:rFonts w:ascii="Times New Roman" w:hAnsi="Times New Roman" w:cs="Times New Roman"/>
          <w:b/>
          <w:sz w:val="24"/>
          <w:szCs w:val="24"/>
        </w:rPr>
        <w:t>au</w:t>
      </w:r>
      <w:r w:rsidRPr="00DF0DEA">
        <w:rPr>
          <w:rFonts w:ascii="Times New Roman" w:hAnsi="Times New Roman" w:cs="Times New Roman"/>
          <w:b/>
          <w:sz w:val="24"/>
          <w:szCs w:val="24"/>
        </w:rPr>
        <w:t xml:space="preserve"> 3 : </w:t>
      </w:r>
      <w:r w:rsidR="00DF0DEA" w:rsidRPr="00DF0DEA">
        <w:rPr>
          <w:rFonts w:ascii="Times New Roman" w:hAnsi="Times New Roman" w:cs="Times New Roman"/>
          <w:b/>
          <w:sz w:val="24"/>
          <w:szCs w:val="24"/>
        </w:rPr>
        <w:t xml:space="preserve">Niveau des indicateurs de performance </w:t>
      </w:r>
    </w:p>
    <w:tbl>
      <w:tblPr>
        <w:tblW w:w="8580" w:type="dxa"/>
        <w:tblInd w:w="55" w:type="dxa"/>
        <w:tblCellMar>
          <w:left w:w="70" w:type="dxa"/>
          <w:right w:w="70" w:type="dxa"/>
        </w:tblCellMar>
        <w:tblLook w:val="04A0" w:firstRow="1" w:lastRow="0" w:firstColumn="1" w:lastColumn="0" w:noHBand="0" w:noVBand="1"/>
      </w:tblPr>
      <w:tblGrid>
        <w:gridCol w:w="820"/>
        <w:gridCol w:w="1180"/>
        <w:gridCol w:w="1134"/>
        <w:gridCol w:w="1134"/>
        <w:gridCol w:w="992"/>
        <w:gridCol w:w="1701"/>
        <w:gridCol w:w="1619"/>
      </w:tblGrid>
      <w:tr w:rsidR="00691414" w:rsidRPr="00691414" w:rsidTr="005819C3">
        <w:trPr>
          <w:trHeight w:val="330"/>
        </w:trPr>
        <w:tc>
          <w:tcPr>
            <w:tcW w:w="820" w:type="dxa"/>
            <w:tcBorders>
              <w:top w:val="double" w:sz="6" w:space="0" w:color="auto"/>
              <w:left w:val="nil"/>
              <w:bottom w:val="double" w:sz="6" w:space="0" w:color="auto"/>
              <w:right w:val="single" w:sz="4" w:space="0" w:color="auto"/>
            </w:tcBorders>
            <w:shd w:val="clear" w:color="auto" w:fill="auto"/>
            <w:noWrap/>
            <w:vAlign w:val="center"/>
            <w:hideMark/>
          </w:tcPr>
          <w:p w:rsidR="00691414" w:rsidRPr="00691414" w:rsidRDefault="00691414" w:rsidP="00DF0DEA">
            <w:pPr>
              <w:spacing w:after="0" w:line="240" w:lineRule="auto"/>
              <w:rPr>
                <w:rFonts w:ascii="Times New Roman" w:eastAsia="Times New Roman" w:hAnsi="Times New Roman" w:cs="Times New Roman"/>
                <w:color w:val="000000"/>
              </w:rPr>
            </w:pPr>
            <w:r w:rsidRPr="00691414">
              <w:rPr>
                <w:rFonts w:ascii="Times New Roman" w:eastAsia="Times New Roman" w:hAnsi="Times New Roman" w:cs="Times New Roman"/>
                <w:color w:val="000000"/>
              </w:rPr>
              <w:t>Année</w:t>
            </w:r>
          </w:p>
        </w:tc>
        <w:tc>
          <w:tcPr>
            <w:tcW w:w="1180" w:type="dxa"/>
            <w:tcBorders>
              <w:top w:val="double" w:sz="6" w:space="0" w:color="auto"/>
              <w:left w:val="single" w:sz="4" w:space="0" w:color="auto"/>
              <w:bottom w:val="double" w:sz="6" w:space="0" w:color="auto"/>
              <w:right w:val="single" w:sz="4" w:space="0" w:color="auto"/>
            </w:tcBorders>
            <w:shd w:val="clear" w:color="auto" w:fill="auto"/>
            <w:noWrap/>
            <w:vAlign w:val="center"/>
            <w:hideMark/>
          </w:tcPr>
          <w:p w:rsidR="00691414" w:rsidRPr="00691414" w:rsidRDefault="00691414" w:rsidP="005819C3">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Volume</w:t>
            </w:r>
            <w:r w:rsidR="005819C3">
              <w:rPr>
                <w:rFonts w:ascii="Times New Roman" w:eastAsia="Times New Roman" w:hAnsi="Times New Roman" w:cs="Times New Roman"/>
                <w:color w:val="000000"/>
              </w:rPr>
              <w:t xml:space="preserve"> (Tonne métriques)</w:t>
            </w:r>
          </w:p>
        </w:tc>
        <w:tc>
          <w:tcPr>
            <w:tcW w:w="1134" w:type="dxa"/>
            <w:tcBorders>
              <w:top w:val="double" w:sz="6" w:space="0" w:color="auto"/>
              <w:left w:val="single" w:sz="4" w:space="0" w:color="auto"/>
              <w:bottom w:val="double" w:sz="6" w:space="0" w:color="auto"/>
              <w:right w:val="single" w:sz="4" w:space="0" w:color="auto"/>
            </w:tcBorders>
            <w:shd w:val="clear" w:color="auto" w:fill="auto"/>
            <w:noWrap/>
            <w:vAlign w:val="center"/>
            <w:hideMark/>
          </w:tcPr>
          <w:p w:rsidR="00691414" w:rsidRPr="00691414" w:rsidRDefault="00691414" w:rsidP="005819C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Durée en </w:t>
            </w:r>
            <w:r w:rsidRPr="00691414">
              <w:rPr>
                <w:rFonts w:ascii="Times New Roman" w:eastAsia="Times New Roman" w:hAnsi="Times New Roman" w:cs="Times New Roman"/>
                <w:color w:val="000000"/>
              </w:rPr>
              <w:t>rade</w:t>
            </w:r>
            <w:r w:rsidR="005819C3">
              <w:rPr>
                <w:rFonts w:ascii="Times New Roman" w:eastAsia="Times New Roman" w:hAnsi="Times New Roman" w:cs="Times New Roman"/>
                <w:color w:val="000000"/>
              </w:rPr>
              <w:t xml:space="preserve"> (Heures)</w:t>
            </w:r>
          </w:p>
        </w:tc>
        <w:tc>
          <w:tcPr>
            <w:tcW w:w="1134" w:type="dxa"/>
            <w:tcBorders>
              <w:top w:val="double" w:sz="6" w:space="0" w:color="auto"/>
              <w:left w:val="single" w:sz="4" w:space="0" w:color="auto"/>
              <w:bottom w:val="double" w:sz="6" w:space="0" w:color="auto"/>
              <w:right w:val="single" w:sz="4" w:space="0" w:color="auto"/>
            </w:tcBorders>
            <w:shd w:val="clear" w:color="auto" w:fill="auto"/>
            <w:noWrap/>
            <w:vAlign w:val="center"/>
            <w:hideMark/>
          </w:tcPr>
          <w:p w:rsidR="00691414" w:rsidRPr="00691414" w:rsidRDefault="00691414" w:rsidP="005819C3">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 xml:space="preserve">Durée </w:t>
            </w:r>
            <w:r>
              <w:rPr>
                <w:rFonts w:ascii="Times New Roman" w:eastAsia="Times New Roman" w:hAnsi="Times New Roman" w:cs="Times New Roman"/>
                <w:color w:val="000000"/>
              </w:rPr>
              <w:t xml:space="preserve">à </w:t>
            </w:r>
            <w:r w:rsidRPr="00691414">
              <w:rPr>
                <w:rFonts w:ascii="Times New Roman" w:eastAsia="Times New Roman" w:hAnsi="Times New Roman" w:cs="Times New Roman"/>
                <w:color w:val="000000"/>
              </w:rPr>
              <w:t>quai</w:t>
            </w:r>
            <w:r w:rsidR="005819C3">
              <w:rPr>
                <w:rFonts w:ascii="Times New Roman" w:eastAsia="Times New Roman" w:hAnsi="Times New Roman" w:cs="Times New Roman"/>
                <w:color w:val="000000"/>
              </w:rPr>
              <w:t xml:space="preserve"> (Jours)</w:t>
            </w:r>
          </w:p>
        </w:tc>
        <w:tc>
          <w:tcPr>
            <w:tcW w:w="992" w:type="dxa"/>
            <w:tcBorders>
              <w:top w:val="double" w:sz="6" w:space="0" w:color="auto"/>
              <w:left w:val="single" w:sz="4" w:space="0" w:color="auto"/>
              <w:bottom w:val="double" w:sz="6" w:space="0" w:color="auto"/>
              <w:right w:val="single" w:sz="4" w:space="0" w:color="auto"/>
            </w:tcBorders>
            <w:shd w:val="clear" w:color="auto" w:fill="auto"/>
            <w:noWrap/>
            <w:vAlign w:val="center"/>
            <w:hideMark/>
          </w:tcPr>
          <w:p w:rsidR="00691414" w:rsidRPr="00691414" w:rsidRDefault="00691414" w:rsidP="005819C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Nombre de </w:t>
            </w:r>
            <w:r w:rsidRPr="00691414">
              <w:rPr>
                <w:rFonts w:ascii="Times New Roman" w:eastAsia="Times New Roman" w:hAnsi="Times New Roman" w:cs="Times New Roman"/>
                <w:color w:val="000000"/>
              </w:rPr>
              <w:t>Vol</w:t>
            </w:r>
          </w:p>
        </w:tc>
        <w:tc>
          <w:tcPr>
            <w:tcW w:w="1701" w:type="dxa"/>
            <w:tcBorders>
              <w:top w:val="double" w:sz="6" w:space="0" w:color="auto"/>
              <w:left w:val="single" w:sz="4" w:space="0" w:color="auto"/>
              <w:bottom w:val="double" w:sz="6" w:space="0" w:color="auto"/>
              <w:right w:val="single" w:sz="4" w:space="0" w:color="auto"/>
            </w:tcBorders>
            <w:shd w:val="clear" w:color="auto" w:fill="auto"/>
            <w:noWrap/>
            <w:vAlign w:val="center"/>
            <w:hideMark/>
          </w:tcPr>
          <w:p w:rsidR="00691414" w:rsidRPr="00691414" w:rsidRDefault="005819C3" w:rsidP="005819C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Temps d’a</w:t>
            </w:r>
            <w:r w:rsidR="00691414" w:rsidRPr="00691414">
              <w:rPr>
                <w:rFonts w:ascii="Times New Roman" w:eastAsia="Times New Roman" w:hAnsi="Times New Roman" w:cs="Times New Roman"/>
                <w:color w:val="000000"/>
              </w:rPr>
              <w:t>ttente camions</w:t>
            </w:r>
            <w:r w:rsidR="00DF0DEA">
              <w:rPr>
                <w:rFonts w:ascii="Times New Roman" w:eastAsia="Times New Roman" w:hAnsi="Times New Roman" w:cs="Times New Roman"/>
                <w:color w:val="000000"/>
              </w:rPr>
              <w:t xml:space="preserve"> au port</w:t>
            </w:r>
            <w:r>
              <w:rPr>
                <w:rFonts w:ascii="Times New Roman" w:eastAsia="Times New Roman" w:hAnsi="Times New Roman" w:cs="Times New Roman"/>
                <w:color w:val="000000"/>
              </w:rPr>
              <w:t xml:space="preserve"> (Heure)</w:t>
            </w:r>
          </w:p>
        </w:tc>
        <w:tc>
          <w:tcPr>
            <w:tcW w:w="1619" w:type="dxa"/>
            <w:tcBorders>
              <w:top w:val="double" w:sz="6" w:space="0" w:color="auto"/>
              <w:left w:val="single" w:sz="4" w:space="0" w:color="auto"/>
              <w:bottom w:val="double" w:sz="6" w:space="0" w:color="auto"/>
              <w:right w:val="nil"/>
            </w:tcBorders>
            <w:shd w:val="clear" w:color="auto" w:fill="auto"/>
            <w:noWrap/>
            <w:vAlign w:val="center"/>
            <w:hideMark/>
          </w:tcPr>
          <w:p w:rsidR="00691414" w:rsidRPr="00691414" w:rsidRDefault="00691414" w:rsidP="005819C3">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Temps transit</w:t>
            </w:r>
            <w:r w:rsidR="00DF0DEA">
              <w:rPr>
                <w:rFonts w:ascii="Times New Roman" w:eastAsia="Times New Roman" w:hAnsi="Times New Roman" w:cs="Times New Roman"/>
                <w:color w:val="000000"/>
              </w:rPr>
              <w:t xml:space="preserve"> douanier</w:t>
            </w:r>
            <w:r w:rsidR="005819C3">
              <w:rPr>
                <w:rFonts w:ascii="Times New Roman" w:eastAsia="Times New Roman" w:hAnsi="Times New Roman" w:cs="Times New Roman"/>
                <w:color w:val="000000"/>
              </w:rPr>
              <w:t xml:space="preserve"> (Jours)</w:t>
            </w:r>
          </w:p>
        </w:tc>
      </w:tr>
      <w:tr w:rsidR="00691414" w:rsidRPr="00691414" w:rsidTr="005819C3">
        <w:trPr>
          <w:trHeight w:val="315"/>
        </w:trPr>
        <w:tc>
          <w:tcPr>
            <w:tcW w:w="820"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2006</w:t>
            </w:r>
          </w:p>
        </w:tc>
        <w:tc>
          <w:tcPr>
            <w:tcW w:w="1180"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4,1</w:t>
            </w:r>
          </w:p>
        </w:tc>
        <w:tc>
          <w:tcPr>
            <w:tcW w:w="1134"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16</w:t>
            </w:r>
          </w:p>
        </w:tc>
        <w:tc>
          <w:tcPr>
            <w:tcW w:w="1134"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2</w:t>
            </w:r>
          </w:p>
        </w:tc>
        <w:tc>
          <w:tcPr>
            <w:tcW w:w="992"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40</w:t>
            </w:r>
          </w:p>
        </w:tc>
        <w:tc>
          <w:tcPr>
            <w:tcW w:w="1701"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24</w:t>
            </w:r>
          </w:p>
        </w:tc>
        <w:tc>
          <w:tcPr>
            <w:tcW w:w="1619" w:type="dxa"/>
            <w:tcBorders>
              <w:top w:val="nil"/>
              <w:left w:val="nil"/>
              <w:bottom w:val="nil"/>
              <w:right w:val="nil"/>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3,8</w:t>
            </w:r>
          </w:p>
        </w:tc>
      </w:tr>
      <w:tr w:rsidR="00691414" w:rsidRPr="00691414" w:rsidTr="005819C3">
        <w:trPr>
          <w:trHeight w:val="300"/>
        </w:trPr>
        <w:tc>
          <w:tcPr>
            <w:tcW w:w="820"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2007</w:t>
            </w:r>
          </w:p>
        </w:tc>
        <w:tc>
          <w:tcPr>
            <w:tcW w:w="1180"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6,04</w:t>
            </w:r>
          </w:p>
        </w:tc>
        <w:tc>
          <w:tcPr>
            <w:tcW w:w="1134"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49</w:t>
            </w:r>
          </w:p>
        </w:tc>
        <w:tc>
          <w:tcPr>
            <w:tcW w:w="1134"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1,53</w:t>
            </w:r>
          </w:p>
        </w:tc>
        <w:tc>
          <w:tcPr>
            <w:tcW w:w="992"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57</w:t>
            </w:r>
          </w:p>
        </w:tc>
        <w:tc>
          <w:tcPr>
            <w:tcW w:w="1701"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0</w:t>
            </w:r>
          </w:p>
        </w:tc>
        <w:tc>
          <w:tcPr>
            <w:tcW w:w="1619" w:type="dxa"/>
            <w:tcBorders>
              <w:top w:val="nil"/>
              <w:left w:val="nil"/>
              <w:bottom w:val="nil"/>
              <w:right w:val="nil"/>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0</w:t>
            </w:r>
          </w:p>
        </w:tc>
      </w:tr>
      <w:tr w:rsidR="00691414" w:rsidRPr="00691414" w:rsidTr="005819C3">
        <w:trPr>
          <w:trHeight w:val="300"/>
        </w:trPr>
        <w:tc>
          <w:tcPr>
            <w:tcW w:w="820"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2008</w:t>
            </w:r>
          </w:p>
        </w:tc>
        <w:tc>
          <w:tcPr>
            <w:tcW w:w="1180"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6,91</w:t>
            </w:r>
          </w:p>
        </w:tc>
        <w:tc>
          <w:tcPr>
            <w:tcW w:w="1134"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67,6</w:t>
            </w:r>
          </w:p>
        </w:tc>
        <w:tc>
          <w:tcPr>
            <w:tcW w:w="1134"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1,98</w:t>
            </w:r>
          </w:p>
        </w:tc>
        <w:tc>
          <w:tcPr>
            <w:tcW w:w="992"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25</w:t>
            </w:r>
          </w:p>
        </w:tc>
        <w:tc>
          <w:tcPr>
            <w:tcW w:w="1701"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104</w:t>
            </w:r>
          </w:p>
        </w:tc>
        <w:tc>
          <w:tcPr>
            <w:tcW w:w="1619" w:type="dxa"/>
            <w:tcBorders>
              <w:top w:val="nil"/>
              <w:left w:val="nil"/>
              <w:bottom w:val="nil"/>
              <w:right w:val="nil"/>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0</w:t>
            </w:r>
          </w:p>
        </w:tc>
      </w:tr>
      <w:tr w:rsidR="00691414" w:rsidRPr="00691414" w:rsidTr="005819C3">
        <w:trPr>
          <w:trHeight w:val="300"/>
        </w:trPr>
        <w:tc>
          <w:tcPr>
            <w:tcW w:w="820"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2009</w:t>
            </w:r>
          </w:p>
        </w:tc>
        <w:tc>
          <w:tcPr>
            <w:tcW w:w="1180"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6,36</w:t>
            </w:r>
          </w:p>
        </w:tc>
        <w:tc>
          <w:tcPr>
            <w:tcW w:w="1134"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39,12</w:t>
            </w:r>
          </w:p>
        </w:tc>
        <w:tc>
          <w:tcPr>
            <w:tcW w:w="1134"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1,6</w:t>
            </w:r>
          </w:p>
        </w:tc>
        <w:tc>
          <w:tcPr>
            <w:tcW w:w="992"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48</w:t>
            </w:r>
          </w:p>
        </w:tc>
        <w:tc>
          <w:tcPr>
            <w:tcW w:w="1701"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0</w:t>
            </w:r>
          </w:p>
        </w:tc>
        <w:tc>
          <w:tcPr>
            <w:tcW w:w="1619" w:type="dxa"/>
            <w:tcBorders>
              <w:top w:val="nil"/>
              <w:left w:val="nil"/>
              <w:bottom w:val="nil"/>
              <w:right w:val="nil"/>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0</w:t>
            </w:r>
          </w:p>
        </w:tc>
      </w:tr>
      <w:tr w:rsidR="00691414" w:rsidRPr="00691414" w:rsidTr="005819C3">
        <w:trPr>
          <w:trHeight w:val="300"/>
        </w:trPr>
        <w:tc>
          <w:tcPr>
            <w:tcW w:w="820"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2010</w:t>
            </w:r>
          </w:p>
        </w:tc>
        <w:tc>
          <w:tcPr>
            <w:tcW w:w="1180"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7,104</w:t>
            </w:r>
          </w:p>
        </w:tc>
        <w:tc>
          <w:tcPr>
            <w:tcW w:w="1134"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34,72</w:t>
            </w:r>
          </w:p>
        </w:tc>
        <w:tc>
          <w:tcPr>
            <w:tcW w:w="1134"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1,1</w:t>
            </w:r>
          </w:p>
        </w:tc>
        <w:tc>
          <w:tcPr>
            <w:tcW w:w="992"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24</w:t>
            </w:r>
          </w:p>
        </w:tc>
        <w:tc>
          <w:tcPr>
            <w:tcW w:w="1701" w:type="dxa"/>
            <w:tcBorders>
              <w:top w:val="nil"/>
              <w:left w:val="nil"/>
              <w:bottom w:val="nil"/>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38,26</w:t>
            </w:r>
          </w:p>
        </w:tc>
        <w:tc>
          <w:tcPr>
            <w:tcW w:w="1619" w:type="dxa"/>
            <w:tcBorders>
              <w:top w:val="nil"/>
              <w:left w:val="nil"/>
              <w:bottom w:val="nil"/>
              <w:right w:val="nil"/>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3,38</w:t>
            </w:r>
          </w:p>
        </w:tc>
      </w:tr>
      <w:tr w:rsidR="00691414" w:rsidRPr="00691414" w:rsidTr="005819C3">
        <w:trPr>
          <w:trHeight w:val="315"/>
        </w:trPr>
        <w:tc>
          <w:tcPr>
            <w:tcW w:w="820" w:type="dxa"/>
            <w:tcBorders>
              <w:top w:val="nil"/>
              <w:left w:val="nil"/>
              <w:bottom w:val="double" w:sz="6" w:space="0" w:color="auto"/>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2011</w:t>
            </w:r>
          </w:p>
        </w:tc>
        <w:tc>
          <w:tcPr>
            <w:tcW w:w="1180" w:type="dxa"/>
            <w:tcBorders>
              <w:top w:val="nil"/>
              <w:left w:val="nil"/>
              <w:bottom w:val="double" w:sz="6" w:space="0" w:color="auto"/>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6,9</w:t>
            </w:r>
          </w:p>
        </w:tc>
        <w:tc>
          <w:tcPr>
            <w:tcW w:w="1134" w:type="dxa"/>
            <w:tcBorders>
              <w:top w:val="nil"/>
              <w:left w:val="nil"/>
              <w:bottom w:val="double" w:sz="6" w:space="0" w:color="auto"/>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34,6</w:t>
            </w:r>
          </w:p>
        </w:tc>
        <w:tc>
          <w:tcPr>
            <w:tcW w:w="1134" w:type="dxa"/>
            <w:tcBorders>
              <w:top w:val="nil"/>
              <w:left w:val="nil"/>
              <w:bottom w:val="double" w:sz="6" w:space="0" w:color="auto"/>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1,31</w:t>
            </w:r>
          </w:p>
        </w:tc>
        <w:tc>
          <w:tcPr>
            <w:tcW w:w="992" w:type="dxa"/>
            <w:tcBorders>
              <w:top w:val="nil"/>
              <w:left w:val="nil"/>
              <w:bottom w:val="double" w:sz="6" w:space="0" w:color="auto"/>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32</w:t>
            </w:r>
          </w:p>
        </w:tc>
        <w:tc>
          <w:tcPr>
            <w:tcW w:w="1701" w:type="dxa"/>
            <w:tcBorders>
              <w:top w:val="nil"/>
              <w:left w:val="nil"/>
              <w:bottom w:val="double" w:sz="6" w:space="0" w:color="auto"/>
              <w:right w:val="single" w:sz="4" w:space="0" w:color="auto"/>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27,55</w:t>
            </w:r>
          </w:p>
        </w:tc>
        <w:tc>
          <w:tcPr>
            <w:tcW w:w="1619" w:type="dxa"/>
            <w:tcBorders>
              <w:top w:val="nil"/>
              <w:left w:val="nil"/>
              <w:bottom w:val="double" w:sz="6" w:space="0" w:color="auto"/>
              <w:right w:val="nil"/>
            </w:tcBorders>
            <w:shd w:val="clear" w:color="auto" w:fill="auto"/>
            <w:vAlign w:val="bottom"/>
            <w:hideMark/>
          </w:tcPr>
          <w:p w:rsidR="00691414" w:rsidRPr="00691414" w:rsidRDefault="00691414" w:rsidP="00691414">
            <w:pPr>
              <w:spacing w:after="0" w:line="240" w:lineRule="auto"/>
              <w:jc w:val="right"/>
              <w:rPr>
                <w:rFonts w:ascii="Times New Roman" w:eastAsia="Times New Roman" w:hAnsi="Times New Roman" w:cs="Times New Roman"/>
                <w:color w:val="000000"/>
              </w:rPr>
            </w:pPr>
            <w:r w:rsidRPr="00691414">
              <w:rPr>
                <w:rFonts w:ascii="Times New Roman" w:eastAsia="Times New Roman" w:hAnsi="Times New Roman" w:cs="Times New Roman"/>
                <w:color w:val="000000"/>
              </w:rPr>
              <w:t>2,93</w:t>
            </w:r>
          </w:p>
        </w:tc>
      </w:tr>
    </w:tbl>
    <w:p w:rsidR="00691414" w:rsidRDefault="00DF0DEA" w:rsidP="007D6265">
      <w:pPr>
        <w:spacing w:before="120" w:after="120"/>
        <w:jc w:val="both"/>
        <w:rPr>
          <w:rFonts w:ascii="Times New Roman" w:hAnsi="Times New Roman" w:cs="Times New Roman"/>
          <w:sz w:val="24"/>
          <w:szCs w:val="24"/>
        </w:rPr>
      </w:pPr>
      <w:r>
        <w:rPr>
          <w:rFonts w:ascii="Times New Roman" w:hAnsi="Times New Roman" w:cs="Times New Roman"/>
          <w:sz w:val="24"/>
          <w:szCs w:val="24"/>
        </w:rPr>
        <w:t>Source : MCA Bénin (2012).</w:t>
      </w:r>
    </w:p>
    <w:p w:rsidR="00CB79E3" w:rsidRDefault="00CB79E3" w:rsidP="007D6265">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Enfin, u</w:t>
      </w:r>
      <w:r w:rsidR="007D6265" w:rsidRPr="005456F7">
        <w:rPr>
          <w:rFonts w:ascii="Times New Roman" w:eastAsia="Calibri" w:hAnsi="Times New Roman" w:cs="Times New Roman"/>
          <w:sz w:val="24"/>
          <w:szCs w:val="24"/>
        </w:rPr>
        <w:t xml:space="preserve">n modèle empirique pouvant capter </w:t>
      </w:r>
      <w:r>
        <w:rPr>
          <w:rFonts w:ascii="Times New Roman" w:eastAsia="Calibri" w:hAnsi="Times New Roman" w:cs="Times New Roman"/>
          <w:sz w:val="24"/>
          <w:szCs w:val="24"/>
        </w:rPr>
        <w:t xml:space="preserve">l’impact de l’aide sur des variables d’intérêt et surtout </w:t>
      </w:r>
      <w:r w:rsidR="007D6265" w:rsidRPr="005456F7">
        <w:rPr>
          <w:rFonts w:ascii="Times New Roman" w:eastAsia="Calibri" w:hAnsi="Times New Roman" w:cs="Times New Roman"/>
          <w:sz w:val="24"/>
          <w:szCs w:val="24"/>
        </w:rPr>
        <w:t>l</w:t>
      </w:r>
      <w:r>
        <w:rPr>
          <w:rFonts w:ascii="Times New Roman" w:eastAsia="Calibri" w:hAnsi="Times New Roman" w:cs="Times New Roman"/>
          <w:sz w:val="24"/>
          <w:szCs w:val="24"/>
        </w:rPr>
        <w:t xml:space="preserve">’avènement du premier compact du MCA et les investissements subséquents est considéré </w:t>
      </w:r>
      <w:r w:rsidR="007D6265" w:rsidRPr="005456F7">
        <w:rPr>
          <w:rFonts w:ascii="Times New Roman" w:eastAsia="Calibri" w:hAnsi="Times New Roman" w:cs="Times New Roman"/>
          <w:sz w:val="24"/>
          <w:szCs w:val="24"/>
        </w:rPr>
        <w:t>pour apprécier l’effet des réformes sur le volume des échanges </w:t>
      </w:r>
      <w:r>
        <w:rPr>
          <w:rFonts w:ascii="Times New Roman" w:eastAsia="Calibri" w:hAnsi="Times New Roman" w:cs="Times New Roman"/>
          <w:sz w:val="24"/>
          <w:szCs w:val="24"/>
        </w:rPr>
        <w:t xml:space="preserve">notamment. La spécification </w:t>
      </w:r>
      <w:r w:rsidR="006468EF">
        <w:rPr>
          <w:rFonts w:ascii="Times New Roman" w:eastAsia="Calibri" w:hAnsi="Times New Roman" w:cs="Times New Roman"/>
          <w:sz w:val="24"/>
          <w:szCs w:val="24"/>
        </w:rPr>
        <w:t xml:space="preserve"> qui s’inspire de Cali et te Velde (201</w:t>
      </w:r>
      <w:r w:rsidR="00D30974">
        <w:rPr>
          <w:rFonts w:ascii="Times New Roman" w:eastAsia="Calibri" w:hAnsi="Times New Roman" w:cs="Times New Roman"/>
          <w:sz w:val="24"/>
          <w:szCs w:val="24"/>
        </w:rPr>
        <w:t>0</w:t>
      </w:r>
      <w:r w:rsidR="006468EF">
        <w:rPr>
          <w:rFonts w:ascii="Times New Roman" w:eastAsia="Calibri" w:hAnsi="Times New Roman" w:cs="Times New Roman"/>
          <w:sz w:val="24"/>
          <w:szCs w:val="24"/>
        </w:rPr>
        <w:t xml:space="preserve">) puis Collier et Dollar (2002) </w:t>
      </w:r>
      <w:r>
        <w:rPr>
          <w:rFonts w:ascii="Times New Roman" w:eastAsia="Calibri" w:hAnsi="Times New Roman" w:cs="Times New Roman"/>
          <w:sz w:val="24"/>
          <w:szCs w:val="24"/>
        </w:rPr>
        <w:t>prend la forme,</w:t>
      </w:r>
    </w:p>
    <w:p w:rsidR="00CB79E3" w:rsidRDefault="00C20228" w:rsidP="007D6265">
      <w:pPr>
        <w:spacing w:before="120" w:after="120"/>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lnM=f(lnPib, lnCost, lnAid,Mca, lnTime)</m:t>
          </m:r>
        </m:oMath>
      </m:oMathPara>
    </w:p>
    <w:p w:rsidR="007D6265" w:rsidRPr="005456F7" w:rsidRDefault="00850530" w:rsidP="007D6265">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C20228">
        <w:rPr>
          <w:rFonts w:ascii="Times New Roman" w:eastAsia="Calibri" w:hAnsi="Times New Roman" w:cs="Times New Roman"/>
          <w:sz w:val="24"/>
          <w:szCs w:val="24"/>
        </w:rPr>
        <w:t xml:space="preserve">ù étant donné l’opérateur logarithme </w:t>
      </w:r>
      <w:proofErr w:type="gramStart"/>
      <w:r w:rsidR="00C20228">
        <w:rPr>
          <w:rFonts w:ascii="Times New Roman" w:eastAsia="Calibri" w:hAnsi="Times New Roman" w:cs="Times New Roman"/>
          <w:sz w:val="24"/>
          <w:szCs w:val="24"/>
        </w:rPr>
        <w:t xml:space="preserve">népérien </w:t>
      </w:r>
      <w:proofErr w:type="gramEnd"/>
      <m:oMath>
        <m:r>
          <w:rPr>
            <w:rFonts w:ascii="Cambria Math" w:eastAsia="Calibri" w:hAnsi="Cambria Math" w:cs="Times New Roman"/>
            <w:sz w:val="24"/>
            <w:szCs w:val="24"/>
          </w:rPr>
          <m:t>ln</m:t>
        </m:r>
      </m:oMath>
      <w:r w:rsidR="00CB79E3">
        <w:rPr>
          <w:rFonts w:ascii="Times New Roman" w:eastAsia="Calibri" w:hAnsi="Times New Roman" w:cs="Times New Roman"/>
          <w:sz w:val="24"/>
          <w:szCs w:val="24"/>
        </w:rPr>
        <w:t>,</w:t>
      </w:r>
      <w:r w:rsidR="00C20228">
        <w:rPr>
          <w:rFonts w:ascii="Times New Roman" w:eastAsia="Calibri" w:hAnsi="Times New Roman" w:cs="Times New Roman"/>
          <w:sz w:val="24"/>
          <w:szCs w:val="24"/>
        </w:rPr>
        <w:t xml:space="preserve"> </w:t>
      </w:r>
      <m:oMath>
        <m:r>
          <w:rPr>
            <w:rFonts w:ascii="Cambria Math" w:eastAsia="Calibri" w:hAnsi="Cambria Math" w:cs="Times New Roman"/>
            <w:sz w:val="24"/>
            <w:szCs w:val="24"/>
          </w:rPr>
          <m:t>M, Pib, Cost, Aid,M</m:t>
        </m:r>
        <m:r>
          <w:rPr>
            <w:rFonts w:ascii="Cambria Math" w:eastAsia="Calibri" w:hAnsi="Cambria Math" w:cs="Times New Roman"/>
            <w:sz w:val="24"/>
            <w:szCs w:val="24"/>
          </w:rPr>
          <m:t>ca, Time</m:t>
        </m:r>
      </m:oMath>
      <w:r w:rsidR="00CB79E3">
        <w:rPr>
          <w:rFonts w:ascii="Times New Roman" w:eastAsia="Calibri" w:hAnsi="Times New Roman" w:cs="Times New Roman"/>
          <w:sz w:val="24"/>
          <w:szCs w:val="24"/>
        </w:rPr>
        <w:t xml:space="preserve"> désignent respectivement, les importations en valeur, le produit intérieur brut, le coût par conteneur à l’importation, l’aide pour le commerce, la variable dummy indiquant l’avènement de l’aide MCA avec la valeur 0 avant 2006 et </w:t>
      </w:r>
      <w:r w:rsidR="006468EF">
        <w:rPr>
          <w:rFonts w:ascii="Times New Roman" w:eastAsia="Calibri" w:hAnsi="Times New Roman" w:cs="Times New Roman"/>
          <w:sz w:val="24"/>
          <w:szCs w:val="24"/>
        </w:rPr>
        <w:t xml:space="preserve">1 après cette date puis enfin le </w:t>
      </w:r>
      <w:r w:rsidR="00967964">
        <w:rPr>
          <w:rFonts w:ascii="Times New Roman" w:eastAsia="Calibri" w:hAnsi="Times New Roman" w:cs="Times New Roman"/>
          <w:sz w:val="24"/>
          <w:szCs w:val="24"/>
        </w:rPr>
        <w:t>temps de traitement par conteneur</w:t>
      </w:r>
      <w:r w:rsidR="006468EF">
        <w:rPr>
          <w:rFonts w:ascii="Times New Roman" w:eastAsia="Calibri" w:hAnsi="Times New Roman" w:cs="Times New Roman"/>
          <w:sz w:val="24"/>
          <w:szCs w:val="24"/>
        </w:rPr>
        <w:t xml:space="preserve">. Ce modèle assez simpliste permet d’apprécier l’impact non seulement de l’aide mais aussi, indirectement celui lié à la réduction des durées dues aux investissements. L’aide </w:t>
      </w:r>
      <w:r w:rsidR="006468EF">
        <w:rPr>
          <w:rFonts w:ascii="Times New Roman" w:eastAsia="Calibri" w:hAnsi="Times New Roman" w:cs="Times New Roman"/>
          <w:sz w:val="24"/>
          <w:szCs w:val="24"/>
        </w:rPr>
        <w:lastRenderedPageBreak/>
        <w:t xml:space="preserve">sera considérée sans et puis avec la subvention du MCC afin de mettre en lumière un effet direct. </w:t>
      </w:r>
      <w:r w:rsidR="00435D3C">
        <w:rPr>
          <w:rFonts w:ascii="Times New Roman" w:eastAsia="Calibri" w:hAnsi="Times New Roman" w:cs="Times New Roman"/>
          <w:sz w:val="24"/>
          <w:szCs w:val="24"/>
        </w:rPr>
        <w:t>Le test de causalité suivant Granger (1969) va introduire cette seconde approche d’analyse.</w:t>
      </w:r>
    </w:p>
    <w:p w:rsidR="00DD7C12" w:rsidRDefault="00DD7C12" w:rsidP="00D27342">
      <w:pPr>
        <w:spacing w:before="120" w:after="120"/>
        <w:jc w:val="both"/>
        <w:rPr>
          <w:rFonts w:ascii="Times New Roman" w:eastAsia="Calibri" w:hAnsi="Times New Roman" w:cs="Times New Roman"/>
          <w:sz w:val="24"/>
          <w:szCs w:val="24"/>
        </w:rPr>
      </w:pPr>
    </w:p>
    <w:p w:rsidR="00D9166A" w:rsidRPr="00F436FA" w:rsidRDefault="00332F0B" w:rsidP="00E01E89">
      <w:pPr>
        <w:pStyle w:val="Paragraphedeliste"/>
        <w:numPr>
          <w:ilvl w:val="0"/>
          <w:numId w:val="8"/>
        </w:numPr>
        <w:spacing w:before="120" w:after="120"/>
        <w:jc w:val="both"/>
        <w:rPr>
          <w:rFonts w:ascii="Times New Roman" w:eastAsia="Calibri" w:hAnsi="Times New Roman" w:cs="Times New Roman"/>
          <w:b/>
          <w:sz w:val="24"/>
          <w:szCs w:val="24"/>
        </w:rPr>
      </w:pPr>
      <w:r w:rsidRPr="00F436FA">
        <w:rPr>
          <w:rFonts w:ascii="Times New Roman" w:eastAsia="Calibri" w:hAnsi="Times New Roman" w:cs="Times New Roman"/>
          <w:b/>
          <w:sz w:val="24"/>
          <w:szCs w:val="24"/>
        </w:rPr>
        <w:t>R</w:t>
      </w:r>
      <w:r w:rsidR="00E01E89" w:rsidRPr="00F436FA">
        <w:rPr>
          <w:rFonts w:ascii="Times New Roman" w:eastAsia="Calibri" w:hAnsi="Times New Roman" w:cs="Times New Roman"/>
          <w:b/>
          <w:sz w:val="24"/>
          <w:szCs w:val="24"/>
        </w:rPr>
        <w:t>é</w:t>
      </w:r>
      <w:r w:rsidRPr="00F436FA">
        <w:rPr>
          <w:rFonts w:ascii="Times New Roman" w:eastAsia="Calibri" w:hAnsi="Times New Roman" w:cs="Times New Roman"/>
          <w:b/>
          <w:sz w:val="24"/>
          <w:szCs w:val="24"/>
        </w:rPr>
        <w:t>sultats empiriques</w:t>
      </w:r>
    </w:p>
    <w:p w:rsidR="00504034" w:rsidRDefault="00F436FA" w:rsidP="009D2922">
      <w:pPr>
        <w:spacing w:before="120" w:after="120"/>
        <w:jc w:val="both"/>
        <w:rPr>
          <w:rFonts w:ascii="Times New Roman" w:eastAsia="Calibri" w:hAnsi="Times New Roman" w:cs="Times New Roman"/>
          <w:sz w:val="24"/>
          <w:szCs w:val="24"/>
        </w:rPr>
      </w:pPr>
      <w:r w:rsidRPr="00F436FA">
        <w:rPr>
          <w:rFonts w:ascii="Times New Roman" w:eastAsia="Calibri" w:hAnsi="Times New Roman" w:cs="Times New Roman"/>
          <w:sz w:val="24"/>
          <w:szCs w:val="24"/>
        </w:rPr>
        <w:t>Sur la période 2006-2011, les f</w:t>
      </w:r>
      <w:r>
        <w:rPr>
          <w:rFonts w:ascii="Times New Roman" w:eastAsia="Calibri" w:hAnsi="Times New Roman" w:cs="Times New Roman"/>
          <w:sz w:val="24"/>
          <w:szCs w:val="24"/>
        </w:rPr>
        <w:t xml:space="preserve">inancements </w:t>
      </w:r>
      <w:r w:rsidR="00504034">
        <w:rPr>
          <w:rFonts w:ascii="Times New Roman" w:eastAsia="Calibri" w:hAnsi="Times New Roman" w:cs="Times New Roman"/>
          <w:sz w:val="24"/>
          <w:szCs w:val="24"/>
        </w:rPr>
        <w:t xml:space="preserve">du MCA au Bénin au titre de la composante « accès au marché » réalisés essentiellement au PAC se chiffrent à 187.903.987 dollars US. Se référant à la méthodologie d’analyse des effets de l’aide pour le commerce proposée par </w:t>
      </w:r>
      <w:r>
        <w:rPr>
          <w:rFonts w:ascii="Times New Roman" w:eastAsia="Calibri" w:hAnsi="Times New Roman" w:cs="Times New Roman"/>
          <w:sz w:val="24"/>
          <w:szCs w:val="24"/>
        </w:rPr>
        <w:t xml:space="preserve"> </w:t>
      </w:r>
      <w:proofErr w:type="spellStart"/>
      <w:r w:rsidR="00504034" w:rsidRPr="00DB723F">
        <w:rPr>
          <w:rFonts w:ascii="Times New Roman" w:eastAsia="Calibri" w:hAnsi="Times New Roman" w:cs="Times New Roman"/>
          <w:sz w:val="24"/>
          <w:szCs w:val="24"/>
        </w:rPr>
        <w:t>Adhikari</w:t>
      </w:r>
      <w:proofErr w:type="spellEnd"/>
      <w:r w:rsidR="00504034" w:rsidRPr="00DB723F">
        <w:rPr>
          <w:rFonts w:ascii="Times New Roman" w:eastAsia="Calibri" w:hAnsi="Times New Roman" w:cs="Times New Roman"/>
          <w:sz w:val="24"/>
          <w:szCs w:val="24"/>
        </w:rPr>
        <w:t xml:space="preserve"> (2011)</w:t>
      </w:r>
      <w:r w:rsidR="00504034">
        <w:rPr>
          <w:rFonts w:ascii="Times New Roman" w:eastAsia="Calibri" w:hAnsi="Times New Roman" w:cs="Times New Roman"/>
          <w:sz w:val="24"/>
          <w:szCs w:val="24"/>
        </w:rPr>
        <w:t>, il est important d’apprécier le premier critère, celui du principe de l’</w:t>
      </w:r>
      <w:proofErr w:type="spellStart"/>
      <w:r w:rsidR="00504034">
        <w:rPr>
          <w:rFonts w:ascii="Times New Roman" w:eastAsia="Calibri" w:hAnsi="Times New Roman" w:cs="Times New Roman"/>
          <w:sz w:val="24"/>
          <w:szCs w:val="24"/>
        </w:rPr>
        <w:t>additionalité</w:t>
      </w:r>
      <w:proofErr w:type="spellEnd"/>
      <w:r w:rsidR="00504034">
        <w:rPr>
          <w:rFonts w:ascii="Times New Roman" w:eastAsia="Calibri" w:hAnsi="Times New Roman" w:cs="Times New Roman"/>
          <w:sz w:val="24"/>
          <w:szCs w:val="24"/>
        </w:rPr>
        <w:t>. En effet, les financements au titre de l’aide pour le commerce doivent compléter les flux d’aide en faveur des PMA. L</w:t>
      </w:r>
      <w:r w:rsidR="00EA7A0F">
        <w:rPr>
          <w:rFonts w:ascii="Times New Roman" w:eastAsia="Calibri" w:hAnsi="Times New Roman" w:cs="Times New Roman"/>
          <w:sz w:val="24"/>
          <w:szCs w:val="24"/>
        </w:rPr>
        <w:t>es</w:t>
      </w:r>
      <w:r w:rsidR="00504034">
        <w:rPr>
          <w:rFonts w:ascii="Times New Roman" w:eastAsia="Calibri" w:hAnsi="Times New Roman" w:cs="Times New Roman"/>
          <w:sz w:val="24"/>
          <w:szCs w:val="24"/>
        </w:rPr>
        <w:t xml:space="preserve"> figure</w:t>
      </w:r>
      <w:r w:rsidR="00EA7A0F">
        <w:rPr>
          <w:rFonts w:ascii="Times New Roman" w:eastAsia="Calibri" w:hAnsi="Times New Roman" w:cs="Times New Roman"/>
          <w:sz w:val="24"/>
          <w:szCs w:val="24"/>
        </w:rPr>
        <w:t>s</w:t>
      </w:r>
      <w:r w:rsidR="00504034">
        <w:rPr>
          <w:rFonts w:ascii="Times New Roman" w:eastAsia="Calibri" w:hAnsi="Times New Roman" w:cs="Times New Roman"/>
          <w:sz w:val="24"/>
          <w:szCs w:val="24"/>
        </w:rPr>
        <w:t xml:space="preserve"> 1</w:t>
      </w:r>
      <w:r w:rsidR="00D20E47">
        <w:rPr>
          <w:rFonts w:ascii="Times New Roman" w:eastAsia="Calibri" w:hAnsi="Times New Roman" w:cs="Times New Roman"/>
          <w:sz w:val="24"/>
          <w:szCs w:val="24"/>
        </w:rPr>
        <w:t>.</w:t>
      </w:r>
      <w:r w:rsidR="00EA7A0F">
        <w:rPr>
          <w:rFonts w:ascii="Times New Roman" w:eastAsia="Calibri" w:hAnsi="Times New Roman" w:cs="Times New Roman"/>
          <w:sz w:val="24"/>
          <w:szCs w:val="24"/>
        </w:rPr>
        <w:t>a et 1</w:t>
      </w:r>
      <w:r w:rsidR="00D20E47">
        <w:rPr>
          <w:rFonts w:ascii="Times New Roman" w:eastAsia="Calibri" w:hAnsi="Times New Roman" w:cs="Times New Roman"/>
          <w:sz w:val="24"/>
          <w:szCs w:val="24"/>
        </w:rPr>
        <w:t>.</w:t>
      </w:r>
      <w:r w:rsidR="00EA7A0F">
        <w:rPr>
          <w:rFonts w:ascii="Times New Roman" w:eastAsia="Calibri" w:hAnsi="Times New Roman" w:cs="Times New Roman"/>
          <w:sz w:val="24"/>
          <w:szCs w:val="24"/>
        </w:rPr>
        <w:t>b</w:t>
      </w:r>
      <w:r w:rsidR="00504034">
        <w:rPr>
          <w:rFonts w:ascii="Times New Roman" w:eastAsia="Calibri" w:hAnsi="Times New Roman" w:cs="Times New Roman"/>
          <w:sz w:val="24"/>
          <w:szCs w:val="24"/>
        </w:rPr>
        <w:t xml:space="preserve"> ci-après donne</w:t>
      </w:r>
      <w:r w:rsidR="00EA7A0F">
        <w:rPr>
          <w:rFonts w:ascii="Times New Roman" w:eastAsia="Calibri" w:hAnsi="Times New Roman" w:cs="Times New Roman"/>
          <w:sz w:val="24"/>
          <w:szCs w:val="24"/>
        </w:rPr>
        <w:t>nt</w:t>
      </w:r>
      <w:r w:rsidR="00504034">
        <w:rPr>
          <w:rFonts w:ascii="Times New Roman" w:eastAsia="Calibri" w:hAnsi="Times New Roman" w:cs="Times New Roman"/>
          <w:sz w:val="24"/>
          <w:szCs w:val="24"/>
        </w:rPr>
        <w:t xml:space="preserve"> une illustration du respect de ce principe dans le cadre de l’aide américaine au Bénin.</w:t>
      </w:r>
    </w:p>
    <w:p w:rsidR="00F436FA" w:rsidRPr="003428ED" w:rsidRDefault="00504034" w:rsidP="009D2922">
      <w:pPr>
        <w:spacing w:before="120" w:after="120"/>
        <w:jc w:val="both"/>
        <w:rPr>
          <w:rFonts w:ascii="Times New Roman" w:eastAsia="Calibri" w:hAnsi="Times New Roman" w:cs="Times New Roman"/>
          <w:b/>
          <w:sz w:val="24"/>
          <w:szCs w:val="24"/>
          <w:lang w:val="en-US"/>
        </w:rPr>
      </w:pPr>
      <w:r w:rsidRPr="00504034">
        <w:rPr>
          <w:rFonts w:ascii="Times New Roman" w:eastAsia="Calibri" w:hAnsi="Times New Roman" w:cs="Times New Roman"/>
          <w:noProof/>
          <w:sz w:val="24"/>
          <w:szCs w:val="24"/>
        </w:rPr>
        <w:drawing>
          <wp:inline distT="0" distB="0" distL="0" distR="0">
            <wp:extent cx="2905125" cy="3114675"/>
            <wp:effectExtent l="19050" t="0" r="9525"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428ED">
        <w:rPr>
          <w:rFonts w:ascii="Times New Roman" w:eastAsia="Calibri" w:hAnsi="Times New Roman" w:cs="Times New Roman"/>
          <w:sz w:val="24"/>
          <w:szCs w:val="24"/>
          <w:lang w:val="en-US"/>
        </w:rPr>
        <w:t xml:space="preserve">  </w:t>
      </w:r>
      <w:r w:rsidR="00EA7A0F" w:rsidRPr="00EA7A0F">
        <w:rPr>
          <w:rFonts w:ascii="Times New Roman" w:eastAsia="Calibri" w:hAnsi="Times New Roman" w:cs="Times New Roman"/>
          <w:b/>
          <w:noProof/>
          <w:sz w:val="24"/>
          <w:szCs w:val="24"/>
        </w:rPr>
        <w:drawing>
          <wp:inline distT="0" distB="0" distL="0" distR="0">
            <wp:extent cx="2705100" cy="3114675"/>
            <wp:effectExtent l="19050" t="0" r="1905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436FA" w:rsidRPr="00EA7A0F" w:rsidRDefault="00EA7A0F" w:rsidP="00332F0B">
      <w:pPr>
        <w:jc w:val="both"/>
        <w:rPr>
          <w:rFonts w:ascii="Times New Roman" w:hAnsi="Times New Roman" w:cs="Times New Roman"/>
          <w:lang w:val="en-US"/>
        </w:rPr>
      </w:pPr>
      <w:proofErr w:type="gramStart"/>
      <w:r w:rsidRPr="00EA7A0F">
        <w:rPr>
          <w:rFonts w:ascii="Times New Roman" w:hAnsi="Times New Roman" w:cs="Times New Roman"/>
          <w:lang w:val="en-US"/>
        </w:rPr>
        <w:t>Source :</w:t>
      </w:r>
      <w:proofErr w:type="gramEnd"/>
      <w:r w:rsidRPr="00EA7A0F">
        <w:rPr>
          <w:rFonts w:ascii="Times New Roman" w:hAnsi="Times New Roman" w:cs="Times New Roman"/>
          <w:lang w:val="en-US"/>
        </w:rPr>
        <w:t xml:space="preserve"> Auteurs, </w:t>
      </w:r>
      <w:r w:rsidRPr="00037F11">
        <w:rPr>
          <w:rFonts w:ascii="Times New Roman" w:eastAsia="Calibri" w:hAnsi="Times New Roman" w:cs="Times New Roman"/>
          <w:lang w:val="en-US"/>
        </w:rPr>
        <w:t>OECD Creditor Reporting System (CRS) database</w:t>
      </w:r>
      <w:r>
        <w:rPr>
          <w:rFonts w:ascii="Times New Roman" w:eastAsia="Calibri" w:hAnsi="Times New Roman" w:cs="Times New Roman"/>
          <w:lang w:val="en-US"/>
        </w:rPr>
        <w:t>.</w:t>
      </w:r>
      <w:r w:rsidRPr="00EA7A0F">
        <w:rPr>
          <w:rFonts w:ascii="Times New Roman" w:hAnsi="Times New Roman" w:cs="Times New Roman"/>
          <w:lang w:val="en-US"/>
        </w:rPr>
        <w:t xml:space="preserve"> </w:t>
      </w:r>
    </w:p>
    <w:p w:rsidR="00F436FA" w:rsidRPr="005F72F3" w:rsidRDefault="00411FE9" w:rsidP="00332F0B">
      <w:pPr>
        <w:jc w:val="both"/>
        <w:rPr>
          <w:rFonts w:ascii="Times New Roman" w:hAnsi="Times New Roman" w:cs="Times New Roman"/>
          <w:sz w:val="24"/>
        </w:rPr>
      </w:pPr>
      <w:r w:rsidRPr="005F72F3">
        <w:rPr>
          <w:rFonts w:ascii="Times New Roman" w:hAnsi="Times New Roman" w:cs="Times New Roman"/>
          <w:sz w:val="24"/>
        </w:rPr>
        <w:t>Les figures 1a et 1b représentent la dynamique de l’aide pour le commerce orientée respectivement dans les infrastructures économiques &amp; services (I) puis dans les politiques commerciales et régulations (II). De ce point de vue, après une baisse de l’aide pour le commerce de 2002 à 2006 dans le domaine des infrastructures économiques, il y a une constante hausse de la variable, atteignant un pic en 2011 précisément, l’année de fin de projet MCA : la composante accès au marché du projet a donc permis de relever substantiellement le niveau de l’aide pour le commerce dans le pays sur toute la période d’exécution du projet, d’où le respect du principe d’</w:t>
      </w:r>
      <w:proofErr w:type="spellStart"/>
      <w:r w:rsidRPr="005F72F3">
        <w:rPr>
          <w:rFonts w:ascii="Times New Roman" w:hAnsi="Times New Roman" w:cs="Times New Roman"/>
          <w:sz w:val="24"/>
        </w:rPr>
        <w:t>additionalité</w:t>
      </w:r>
      <w:proofErr w:type="spellEnd"/>
      <w:r w:rsidRPr="005F72F3">
        <w:rPr>
          <w:rFonts w:ascii="Times New Roman" w:hAnsi="Times New Roman" w:cs="Times New Roman"/>
          <w:sz w:val="24"/>
        </w:rPr>
        <w:t xml:space="preserve"> qui permet d’apprécier cet appui sous l’angle d’une aide pour le commerce. Quant au flux d’aide dans les politiques commerciales et régulations, la même dynamique peut s’observer, les pics étant constatés durant la période de mise en œuvre du projet au PAC. Ces p</w:t>
      </w:r>
      <w:r w:rsidR="002A169A" w:rsidRPr="005F72F3">
        <w:rPr>
          <w:rFonts w:ascii="Times New Roman" w:hAnsi="Times New Roman" w:cs="Times New Roman"/>
          <w:sz w:val="24"/>
        </w:rPr>
        <w:t>remières évidences fondent la recherche d’effets réels des financements engagés sur les performances du port</w:t>
      </w:r>
      <w:r w:rsidRPr="005F72F3">
        <w:rPr>
          <w:rFonts w:ascii="Times New Roman" w:hAnsi="Times New Roman" w:cs="Times New Roman"/>
          <w:sz w:val="24"/>
        </w:rPr>
        <w:t xml:space="preserve"> </w:t>
      </w:r>
      <w:r w:rsidR="002A169A" w:rsidRPr="005F72F3">
        <w:rPr>
          <w:rFonts w:ascii="Times New Roman" w:hAnsi="Times New Roman" w:cs="Times New Roman"/>
          <w:sz w:val="24"/>
        </w:rPr>
        <w:t>en considérant quelques indicateurs pertinents.</w:t>
      </w:r>
    </w:p>
    <w:p w:rsidR="002A169A" w:rsidRPr="00303B38" w:rsidRDefault="002A169A" w:rsidP="00332F0B">
      <w:pPr>
        <w:jc w:val="both"/>
        <w:rPr>
          <w:rFonts w:ascii="Times New Roman" w:hAnsi="Times New Roman" w:cs="Times New Roman"/>
          <w:b/>
          <w:i/>
        </w:rPr>
      </w:pPr>
      <w:r w:rsidRPr="00303B38">
        <w:rPr>
          <w:rFonts w:ascii="Times New Roman" w:hAnsi="Times New Roman" w:cs="Times New Roman"/>
          <w:b/>
          <w:i/>
        </w:rPr>
        <w:lastRenderedPageBreak/>
        <w:t>Analyse de la dynamique des indicateurs de performance</w:t>
      </w:r>
    </w:p>
    <w:p w:rsidR="002A169A" w:rsidRDefault="00871896" w:rsidP="00332F0B">
      <w:pPr>
        <w:jc w:val="both"/>
        <w:rPr>
          <w:rFonts w:ascii="Times New Roman" w:eastAsia="Times New Roman" w:hAnsi="Times New Roman" w:cs="Times New Roman"/>
          <w:color w:val="000000"/>
          <w:sz w:val="24"/>
        </w:rPr>
      </w:pPr>
      <w:r>
        <w:rPr>
          <w:rFonts w:ascii="Times New Roman" w:eastAsia="Calibri" w:hAnsi="Times New Roman" w:cs="Times New Roman"/>
          <w:sz w:val="24"/>
          <w:szCs w:val="24"/>
        </w:rPr>
        <w:t>Comme indiqué dans la méthodologie, les principaux indicateurs de performance concernent, le v</w:t>
      </w:r>
      <w:r w:rsidRPr="00DB723F">
        <w:rPr>
          <w:rFonts w:ascii="Times New Roman" w:eastAsia="Times New Roman" w:hAnsi="Times New Roman" w:cs="Times New Roman"/>
          <w:color w:val="000000"/>
          <w:sz w:val="24"/>
        </w:rPr>
        <w:t xml:space="preserve">olume des marchandises passant par le </w:t>
      </w:r>
      <w:r>
        <w:rPr>
          <w:rFonts w:ascii="Times New Roman" w:eastAsia="Times New Roman" w:hAnsi="Times New Roman" w:cs="Times New Roman"/>
          <w:color w:val="000000"/>
          <w:sz w:val="24"/>
        </w:rPr>
        <w:t>PAC, la d</w:t>
      </w:r>
      <w:r w:rsidRPr="00DB723F">
        <w:rPr>
          <w:rFonts w:ascii="Times New Roman" w:eastAsia="Times New Roman" w:hAnsi="Times New Roman" w:cs="Times New Roman"/>
          <w:color w:val="000000"/>
          <w:sz w:val="24"/>
        </w:rPr>
        <w:t>urée de séjour des navires porte-conteneurs en rade</w:t>
      </w:r>
      <w:r>
        <w:rPr>
          <w:rFonts w:ascii="Times New Roman" w:eastAsia="Times New Roman" w:hAnsi="Times New Roman" w:cs="Times New Roman"/>
          <w:color w:val="000000"/>
          <w:sz w:val="24"/>
        </w:rPr>
        <w:t>, la</w:t>
      </w:r>
      <w:r w:rsidRPr="00DB723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d</w:t>
      </w:r>
      <w:r w:rsidRPr="00DB723F">
        <w:rPr>
          <w:rFonts w:ascii="Times New Roman" w:eastAsia="Times New Roman" w:hAnsi="Times New Roman" w:cs="Times New Roman"/>
          <w:color w:val="000000"/>
          <w:sz w:val="24"/>
        </w:rPr>
        <w:t>urée de séjour des navires porte-conteneurs à quai</w:t>
      </w:r>
      <w:r>
        <w:rPr>
          <w:rFonts w:ascii="Times New Roman" w:eastAsia="Times New Roman" w:hAnsi="Times New Roman" w:cs="Times New Roman"/>
          <w:color w:val="000000"/>
          <w:sz w:val="24"/>
        </w:rPr>
        <w:t>, le n</w:t>
      </w:r>
      <w:r w:rsidRPr="00DB723F">
        <w:rPr>
          <w:rFonts w:ascii="Times New Roman" w:eastAsia="Times New Roman" w:hAnsi="Times New Roman" w:cs="Times New Roman"/>
          <w:color w:val="000000"/>
          <w:sz w:val="24"/>
        </w:rPr>
        <w:t>iveau de vols dans l'enceinte portuaire </w:t>
      </w:r>
      <w:r>
        <w:rPr>
          <w:rFonts w:ascii="Times New Roman" w:eastAsia="Times New Roman" w:hAnsi="Times New Roman" w:cs="Times New Roman"/>
          <w:color w:val="000000"/>
          <w:sz w:val="24"/>
        </w:rPr>
        <w:t>comme proxy de la sécurité des opérations, le temps d’attente des camions gros porteurs au port puis le temps de transit douanier. Leur évolution dans le temps donne une illustration des effets des différentes réformes de facilitation entreprises au PAC.</w:t>
      </w:r>
    </w:p>
    <w:p w:rsidR="00332F0B" w:rsidRPr="00C36CD7" w:rsidRDefault="00C36CD7" w:rsidP="00332F0B">
      <w:pPr>
        <w:jc w:val="both"/>
        <w:rPr>
          <w:rFonts w:ascii="Times New Roman" w:hAnsi="Times New Roman" w:cs="Times New Roman"/>
        </w:rPr>
      </w:pPr>
      <w:r w:rsidRPr="00C36CD7">
        <w:rPr>
          <w:rFonts w:ascii="Times New Roman" w:hAnsi="Times New Roman" w:cs="Times New Roman"/>
        </w:rPr>
        <w:t xml:space="preserve">Pour </w:t>
      </w:r>
      <w:r>
        <w:rPr>
          <w:rFonts w:ascii="Times New Roman" w:hAnsi="Times New Roman" w:cs="Times New Roman"/>
        </w:rPr>
        <w:t>apprécier le trafic de marchandises au PAC sur la période récente, il est fait recours au volume de marchandises (figure 2</w:t>
      </w:r>
      <w:r w:rsidR="00D20E47">
        <w:rPr>
          <w:rFonts w:ascii="Times New Roman" w:hAnsi="Times New Roman" w:cs="Times New Roman"/>
        </w:rPr>
        <w:t>.</w:t>
      </w:r>
      <w:r>
        <w:rPr>
          <w:rFonts w:ascii="Times New Roman" w:hAnsi="Times New Roman" w:cs="Times New Roman"/>
        </w:rPr>
        <w:t>a) et à la valeur des marchandises échangées exprimées en pourcentage du PIB (figure 2</w:t>
      </w:r>
      <w:r w:rsidR="00D20E47">
        <w:rPr>
          <w:rFonts w:ascii="Times New Roman" w:hAnsi="Times New Roman" w:cs="Times New Roman"/>
        </w:rPr>
        <w:t>.</w:t>
      </w:r>
      <w:r>
        <w:rPr>
          <w:rFonts w:ascii="Times New Roman" w:hAnsi="Times New Roman" w:cs="Times New Roman"/>
        </w:rPr>
        <w:t>b).</w:t>
      </w:r>
    </w:p>
    <w:p w:rsidR="00C36CD7" w:rsidRDefault="00C36CD7" w:rsidP="00332F0B">
      <w:pPr>
        <w:jc w:val="both"/>
        <w:rPr>
          <w:rFonts w:ascii="Times New Roman" w:hAnsi="Times New Roman" w:cs="Times New Roman"/>
          <w:sz w:val="24"/>
        </w:rPr>
      </w:pPr>
      <w:r w:rsidRPr="00C36CD7">
        <w:rPr>
          <w:rFonts w:ascii="Times New Roman" w:hAnsi="Times New Roman" w:cs="Times New Roman"/>
          <w:noProof/>
          <w:sz w:val="24"/>
        </w:rPr>
        <w:drawing>
          <wp:inline distT="0" distB="0" distL="0" distR="0">
            <wp:extent cx="2857500" cy="3019425"/>
            <wp:effectExtent l="19050" t="0" r="1905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C36CD7">
        <w:rPr>
          <w:rFonts w:ascii="Times New Roman" w:hAnsi="Times New Roman" w:cs="Times New Roman"/>
          <w:noProof/>
          <w:sz w:val="24"/>
        </w:rPr>
        <w:drawing>
          <wp:inline distT="0" distB="0" distL="0" distR="0">
            <wp:extent cx="2733675" cy="3019425"/>
            <wp:effectExtent l="19050" t="0" r="9525"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12A38" w:rsidRPr="00212A38" w:rsidRDefault="00212A38" w:rsidP="00212A38">
      <w:pPr>
        <w:jc w:val="both"/>
        <w:rPr>
          <w:rFonts w:ascii="Times New Roman" w:hAnsi="Times New Roman" w:cs="Times New Roman"/>
          <w:sz w:val="24"/>
        </w:rPr>
      </w:pPr>
      <w:r w:rsidRPr="00212A38">
        <w:rPr>
          <w:rFonts w:ascii="Times New Roman" w:hAnsi="Times New Roman" w:cs="Times New Roman"/>
          <w:sz w:val="24"/>
        </w:rPr>
        <w:t>Source : Auteurs, données MCA Bénin</w:t>
      </w:r>
      <w:r>
        <w:rPr>
          <w:rFonts w:ascii="Times New Roman" w:hAnsi="Times New Roman" w:cs="Times New Roman"/>
          <w:sz w:val="24"/>
        </w:rPr>
        <w:t>.</w:t>
      </w:r>
      <w:r>
        <w:rPr>
          <w:rFonts w:ascii="Times New Roman" w:hAnsi="Times New Roman" w:cs="Times New Roman"/>
          <w:sz w:val="24"/>
        </w:rPr>
        <w:tab/>
        <w:t xml:space="preserve">     </w:t>
      </w:r>
      <w:r w:rsidRPr="00212A38">
        <w:rPr>
          <w:rFonts w:ascii="Times New Roman" w:hAnsi="Times New Roman" w:cs="Times New Roman"/>
          <w:sz w:val="24"/>
        </w:rPr>
        <w:t>Source : Auteurs, données WDI</w:t>
      </w:r>
    </w:p>
    <w:p w:rsidR="00332F0B" w:rsidRPr="00303B38" w:rsidRDefault="00C0280B" w:rsidP="00332F0B">
      <w:pPr>
        <w:jc w:val="both"/>
        <w:rPr>
          <w:rFonts w:ascii="Times New Roman" w:hAnsi="Times New Roman" w:cs="Times New Roman"/>
          <w:sz w:val="24"/>
        </w:rPr>
      </w:pPr>
      <w:r>
        <w:rPr>
          <w:rFonts w:ascii="Times New Roman" w:hAnsi="Times New Roman" w:cs="Times New Roman"/>
          <w:sz w:val="24"/>
        </w:rPr>
        <w:t>La figure 2</w:t>
      </w:r>
      <w:r w:rsidR="00D20E47">
        <w:rPr>
          <w:rFonts w:ascii="Times New Roman" w:hAnsi="Times New Roman" w:cs="Times New Roman"/>
          <w:sz w:val="24"/>
        </w:rPr>
        <w:t>.</w:t>
      </w:r>
      <w:r>
        <w:rPr>
          <w:rFonts w:ascii="Times New Roman" w:hAnsi="Times New Roman" w:cs="Times New Roman"/>
          <w:sz w:val="24"/>
        </w:rPr>
        <w:t>a montre bien que l</w:t>
      </w:r>
      <w:r w:rsidR="00332F0B" w:rsidRPr="00303B38">
        <w:rPr>
          <w:rFonts w:ascii="Times New Roman" w:hAnsi="Times New Roman" w:cs="Times New Roman"/>
          <w:sz w:val="24"/>
        </w:rPr>
        <w:t>e trafic de marchandises passant par le p</w:t>
      </w:r>
      <w:r>
        <w:rPr>
          <w:rFonts w:ascii="Times New Roman" w:hAnsi="Times New Roman" w:cs="Times New Roman"/>
          <w:sz w:val="24"/>
        </w:rPr>
        <w:t>ort de Cotonou a progressé de 2.</w:t>
      </w:r>
      <w:r w:rsidR="00332F0B" w:rsidRPr="00303B38">
        <w:rPr>
          <w:rFonts w:ascii="Times New Roman" w:hAnsi="Times New Roman" w:cs="Times New Roman"/>
          <w:sz w:val="24"/>
        </w:rPr>
        <w:t>8 tonnes métriques au cours des 5 années du programme</w:t>
      </w:r>
      <w:r>
        <w:rPr>
          <w:rFonts w:ascii="Times New Roman" w:hAnsi="Times New Roman" w:cs="Times New Roman"/>
          <w:sz w:val="24"/>
        </w:rPr>
        <w:t xml:space="preserve"> passant de 4.1 à 6.9 tonnes métriques, </w:t>
      </w:r>
      <w:r w:rsidRPr="002637BC">
        <w:rPr>
          <w:rFonts w:ascii="Times New Roman" w:hAnsi="Times New Roman" w:cs="Times New Roman"/>
          <w:b/>
          <w:sz w:val="24"/>
        </w:rPr>
        <w:t xml:space="preserve">soit un taux d’accroissement </w:t>
      </w:r>
      <w:r w:rsidR="002637BC" w:rsidRPr="002637BC">
        <w:rPr>
          <w:rFonts w:ascii="Times New Roman" w:hAnsi="Times New Roman" w:cs="Times New Roman"/>
          <w:b/>
          <w:sz w:val="24"/>
        </w:rPr>
        <w:t>annuel de 13.65% en moyenne</w:t>
      </w:r>
      <w:r w:rsidR="00332F0B" w:rsidRPr="00303B38">
        <w:rPr>
          <w:rFonts w:ascii="Times New Roman" w:hAnsi="Times New Roman" w:cs="Times New Roman"/>
          <w:sz w:val="24"/>
        </w:rPr>
        <w:t xml:space="preserve">. En année 5 du programme, </w:t>
      </w:r>
      <w:r>
        <w:rPr>
          <w:rFonts w:ascii="Times New Roman" w:hAnsi="Times New Roman" w:cs="Times New Roman"/>
          <w:sz w:val="24"/>
        </w:rPr>
        <w:t xml:space="preserve">le trafic de marchandises </w:t>
      </w:r>
      <w:r w:rsidR="00332F0B" w:rsidRPr="00303B38">
        <w:rPr>
          <w:rFonts w:ascii="Times New Roman" w:hAnsi="Times New Roman" w:cs="Times New Roman"/>
          <w:sz w:val="24"/>
        </w:rPr>
        <w:t>a atteint 6</w:t>
      </w:r>
      <w:r w:rsidR="002637BC">
        <w:rPr>
          <w:rFonts w:ascii="Times New Roman" w:hAnsi="Times New Roman" w:cs="Times New Roman"/>
          <w:sz w:val="24"/>
        </w:rPr>
        <w:t>.</w:t>
      </w:r>
      <w:r w:rsidR="00332F0B" w:rsidRPr="00303B38">
        <w:rPr>
          <w:rFonts w:ascii="Times New Roman" w:hAnsi="Times New Roman" w:cs="Times New Roman"/>
          <w:sz w:val="24"/>
        </w:rPr>
        <w:t>9 millions de tonnes métriques contre une cible finale de 6</w:t>
      </w:r>
      <w:r w:rsidR="002637BC">
        <w:rPr>
          <w:rFonts w:ascii="Times New Roman" w:hAnsi="Times New Roman" w:cs="Times New Roman"/>
          <w:sz w:val="24"/>
        </w:rPr>
        <w:t>.</w:t>
      </w:r>
      <w:r w:rsidR="00332F0B" w:rsidRPr="00303B38">
        <w:rPr>
          <w:rFonts w:ascii="Times New Roman" w:hAnsi="Times New Roman" w:cs="Times New Roman"/>
          <w:sz w:val="24"/>
        </w:rPr>
        <w:t xml:space="preserve">3 millions de tonnes métriques. </w:t>
      </w:r>
      <w:r>
        <w:rPr>
          <w:rFonts w:ascii="Times New Roman" w:hAnsi="Times New Roman" w:cs="Times New Roman"/>
          <w:sz w:val="24"/>
        </w:rPr>
        <w:t>D’après les conclusions du rapport d’achèvement du programme, l</w:t>
      </w:r>
      <w:r w:rsidR="00332F0B" w:rsidRPr="00303B38">
        <w:rPr>
          <w:rFonts w:ascii="Times New Roman" w:hAnsi="Times New Roman" w:cs="Times New Roman"/>
          <w:sz w:val="24"/>
        </w:rPr>
        <w:t>’évolution à la hausse du trafic observée depuis le démarrage devrait se confirmer avec la mise en exploitation des investissements réalisés.</w:t>
      </w:r>
      <w:r>
        <w:rPr>
          <w:rFonts w:ascii="Times New Roman" w:hAnsi="Times New Roman" w:cs="Times New Roman"/>
          <w:sz w:val="24"/>
        </w:rPr>
        <w:t xml:space="preserve"> Ceci peut être observé d’ailleurs dans la figure 2</w:t>
      </w:r>
      <w:r w:rsidR="00D20E47">
        <w:rPr>
          <w:rFonts w:ascii="Times New Roman" w:hAnsi="Times New Roman" w:cs="Times New Roman"/>
          <w:sz w:val="24"/>
        </w:rPr>
        <w:t>.</w:t>
      </w:r>
      <w:r>
        <w:rPr>
          <w:rFonts w:ascii="Times New Roman" w:hAnsi="Times New Roman" w:cs="Times New Roman"/>
          <w:sz w:val="24"/>
        </w:rPr>
        <w:t>b</w:t>
      </w:r>
      <w:r w:rsidR="002279BE">
        <w:rPr>
          <w:rFonts w:ascii="Times New Roman" w:hAnsi="Times New Roman" w:cs="Times New Roman"/>
          <w:sz w:val="24"/>
        </w:rPr>
        <w:t xml:space="preserve"> qui représente l’évolution de la valeur des marchandises échangées au PAC avec de</w:t>
      </w:r>
      <w:r w:rsidR="005819C3">
        <w:rPr>
          <w:rFonts w:ascii="Times New Roman" w:hAnsi="Times New Roman" w:cs="Times New Roman"/>
          <w:sz w:val="24"/>
        </w:rPr>
        <w:t>s pics obtenus en 2007 et 2008</w:t>
      </w:r>
      <w:r w:rsidR="002279BE">
        <w:rPr>
          <w:rFonts w:ascii="Times New Roman" w:hAnsi="Times New Roman" w:cs="Times New Roman"/>
          <w:sz w:val="24"/>
        </w:rPr>
        <w:t>.</w:t>
      </w:r>
    </w:p>
    <w:p w:rsidR="00332F0B" w:rsidRDefault="00332F0B" w:rsidP="00332F0B">
      <w:pPr>
        <w:jc w:val="both"/>
        <w:rPr>
          <w:rFonts w:ascii="Times New Roman" w:hAnsi="Times New Roman" w:cs="Times New Roman"/>
          <w:sz w:val="24"/>
        </w:rPr>
      </w:pPr>
      <w:r w:rsidRPr="002279BE">
        <w:rPr>
          <w:rFonts w:ascii="Times New Roman" w:hAnsi="Times New Roman" w:cs="Times New Roman"/>
          <w:sz w:val="24"/>
        </w:rPr>
        <w:t>La durée de séjour des navires porte-conteneurs en rade et à quai</w:t>
      </w:r>
      <w:r w:rsidR="002637BC">
        <w:rPr>
          <w:rFonts w:ascii="Times New Roman" w:hAnsi="Times New Roman" w:cs="Times New Roman"/>
          <w:sz w:val="24"/>
        </w:rPr>
        <w:t xml:space="preserve"> constitue </w:t>
      </w:r>
      <w:r w:rsidR="000B585D">
        <w:rPr>
          <w:rFonts w:ascii="Times New Roman" w:hAnsi="Times New Roman" w:cs="Times New Roman"/>
          <w:sz w:val="24"/>
        </w:rPr>
        <w:t>(figure 3</w:t>
      </w:r>
      <w:r w:rsidR="00D20E47">
        <w:rPr>
          <w:rFonts w:ascii="Times New Roman" w:hAnsi="Times New Roman" w:cs="Times New Roman"/>
          <w:sz w:val="24"/>
        </w:rPr>
        <w:t>.</w:t>
      </w:r>
      <w:r w:rsidR="000B585D">
        <w:rPr>
          <w:rFonts w:ascii="Times New Roman" w:hAnsi="Times New Roman" w:cs="Times New Roman"/>
          <w:sz w:val="24"/>
        </w:rPr>
        <w:t xml:space="preserve">a) </w:t>
      </w:r>
      <w:r w:rsidR="002637BC">
        <w:rPr>
          <w:rFonts w:ascii="Times New Roman" w:hAnsi="Times New Roman" w:cs="Times New Roman"/>
          <w:sz w:val="24"/>
        </w:rPr>
        <w:t>un élément d’appréciation des performances liées aux investissements et réformes</w:t>
      </w:r>
      <w:r w:rsidR="000B585D">
        <w:rPr>
          <w:rFonts w:ascii="Times New Roman" w:hAnsi="Times New Roman" w:cs="Times New Roman"/>
          <w:sz w:val="24"/>
        </w:rPr>
        <w:t xml:space="preserve"> engagés dans le cadre de l’aide pour le commerce</w:t>
      </w:r>
      <w:r w:rsidR="002637BC">
        <w:rPr>
          <w:rFonts w:ascii="Times New Roman" w:hAnsi="Times New Roman" w:cs="Times New Roman"/>
          <w:sz w:val="24"/>
        </w:rPr>
        <w:t xml:space="preserve">. </w:t>
      </w:r>
      <w:r w:rsidR="00525281">
        <w:rPr>
          <w:rFonts w:ascii="Times New Roman" w:hAnsi="Times New Roman" w:cs="Times New Roman"/>
          <w:sz w:val="24"/>
        </w:rPr>
        <w:t xml:space="preserve">Dans la même </w:t>
      </w:r>
      <w:r w:rsidR="00733CBB">
        <w:rPr>
          <w:rFonts w:ascii="Times New Roman" w:hAnsi="Times New Roman" w:cs="Times New Roman"/>
          <w:sz w:val="24"/>
        </w:rPr>
        <w:t>logique, i</w:t>
      </w:r>
      <w:r w:rsidR="000B585D">
        <w:rPr>
          <w:rFonts w:ascii="Times New Roman" w:hAnsi="Times New Roman" w:cs="Times New Roman"/>
          <w:sz w:val="24"/>
        </w:rPr>
        <w:t>l est</w:t>
      </w:r>
      <w:r w:rsidR="00525281">
        <w:rPr>
          <w:rFonts w:ascii="Times New Roman" w:hAnsi="Times New Roman" w:cs="Times New Roman"/>
          <w:sz w:val="24"/>
        </w:rPr>
        <w:t xml:space="preserve"> </w:t>
      </w:r>
      <w:r w:rsidR="00733CBB">
        <w:rPr>
          <w:rFonts w:ascii="Times New Roman" w:hAnsi="Times New Roman" w:cs="Times New Roman"/>
          <w:sz w:val="24"/>
        </w:rPr>
        <w:t>usuel d’étudier les délais aussi bien à l’importation qu’à l’exportation (figure 3</w:t>
      </w:r>
      <w:r w:rsidR="00D20E47">
        <w:rPr>
          <w:rFonts w:ascii="Times New Roman" w:hAnsi="Times New Roman" w:cs="Times New Roman"/>
          <w:sz w:val="24"/>
        </w:rPr>
        <w:t>.</w:t>
      </w:r>
      <w:r w:rsidR="00733CBB">
        <w:rPr>
          <w:rFonts w:ascii="Times New Roman" w:hAnsi="Times New Roman" w:cs="Times New Roman"/>
          <w:sz w:val="24"/>
        </w:rPr>
        <w:t>b).</w:t>
      </w:r>
      <w:r w:rsidR="00525281">
        <w:rPr>
          <w:rFonts w:ascii="Times New Roman" w:hAnsi="Times New Roman" w:cs="Times New Roman"/>
          <w:sz w:val="24"/>
        </w:rPr>
        <w:t xml:space="preserve"> </w:t>
      </w:r>
    </w:p>
    <w:p w:rsidR="00DE130C" w:rsidRPr="002279BE" w:rsidRDefault="00DE130C" w:rsidP="00332F0B">
      <w:pPr>
        <w:jc w:val="both"/>
        <w:rPr>
          <w:rFonts w:ascii="Times New Roman" w:hAnsi="Times New Roman" w:cs="Times New Roman"/>
          <w:sz w:val="24"/>
        </w:rPr>
      </w:pPr>
      <w:r w:rsidRPr="00DE130C">
        <w:rPr>
          <w:rFonts w:ascii="Times New Roman" w:hAnsi="Times New Roman" w:cs="Times New Roman"/>
          <w:noProof/>
          <w:sz w:val="24"/>
        </w:rPr>
        <w:lastRenderedPageBreak/>
        <w:drawing>
          <wp:inline distT="0" distB="0" distL="0" distR="0">
            <wp:extent cx="2800350" cy="3209925"/>
            <wp:effectExtent l="19050" t="0" r="1905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B585D">
        <w:rPr>
          <w:rFonts w:ascii="Times New Roman" w:hAnsi="Times New Roman" w:cs="Times New Roman"/>
          <w:sz w:val="24"/>
        </w:rPr>
        <w:t xml:space="preserve"> </w:t>
      </w:r>
      <w:r w:rsidRPr="00DE130C">
        <w:rPr>
          <w:rFonts w:ascii="Times New Roman" w:hAnsi="Times New Roman" w:cs="Times New Roman"/>
          <w:noProof/>
          <w:sz w:val="24"/>
        </w:rPr>
        <w:drawing>
          <wp:inline distT="0" distB="0" distL="0" distR="0">
            <wp:extent cx="2800350" cy="3209925"/>
            <wp:effectExtent l="19050" t="0" r="1905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7A7D" w:rsidRPr="00DA468C" w:rsidRDefault="00287A7D" w:rsidP="00287A7D">
      <w:pPr>
        <w:jc w:val="both"/>
        <w:rPr>
          <w:rFonts w:ascii="Times New Roman" w:hAnsi="Times New Roman" w:cs="Times New Roman"/>
          <w:sz w:val="24"/>
        </w:rPr>
      </w:pPr>
      <w:r w:rsidRPr="00212A38">
        <w:rPr>
          <w:rFonts w:ascii="Times New Roman" w:hAnsi="Times New Roman" w:cs="Times New Roman"/>
          <w:sz w:val="24"/>
        </w:rPr>
        <w:t xml:space="preserve">Source : </w:t>
      </w:r>
      <w:r w:rsidR="00212A38" w:rsidRPr="00212A38">
        <w:rPr>
          <w:rFonts w:ascii="Times New Roman" w:hAnsi="Times New Roman" w:cs="Times New Roman"/>
          <w:sz w:val="24"/>
        </w:rPr>
        <w:t xml:space="preserve">Auteurs, données </w:t>
      </w:r>
      <w:r w:rsidRPr="00212A38">
        <w:rPr>
          <w:rFonts w:ascii="Times New Roman" w:hAnsi="Times New Roman" w:cs="Times New Roman"/>
          <w:sz w:val="24"/>
        </w:rPr>
        <w:t>MCA Bénin</w:t>
      </w:r>
      <w:r w:rsidR="00212A38">
        <w:rPr>
          <w:rFonts w:ascii="Times New Roman" w:hAnsi="Times New Roman" w:cs="Times New Roman"/>
          <w:sz w:val="24"/>
        </w:rPr>
        <w:t>.</w:t>
      </w:r>
      <w:r w:rsidR="00212A38">
        <w:rPr>
          <w:rFonts w:ascii="Times New Roman" w:hAnsi="Times New Roman" w:cs="Times New Roman"/>
          <w:sz w:val="24"/>
        </w:rPr>
        <w:tab/>
        <w:t xml:space="preserve">     </w:t>
      </w:r>
      <w:r w:rsidRPr="00DA468C">
        <w:rPr>
          <w:rFonts w:ascii="Times New Roman" w:hAnsi="Times New Roman" w:cs="Times New Roman"/>
          <w:sz w:val="24"/>
        </w:rPr>
        <w:t xml:space="preserve">Source : </w:t>
      </w:r>
      <w:r w:rsidR="00212A38" w:rsidRPr="00DA468C">
        <w:rPr>
          <w:rFonts w:ascii="Times New Roman" w:hAnsi="Times New Roman" w:cs="Times New Roman"/>
          <w:sz w:val="24"/>
        </w:rPr>
        <w:t xml:space="preserve">Auteurs, données </w:t>
      </w:r>
      <w:r w:rsidRPr="00DA468C">
        <w:rPr>
          <w:rFonts w:ascii="Times New Roman" w:hAnsi="Times New Roman" w:cs="Times New Roman"/>
          <w:sz w:val="24"/>
        </w:rPr>
        <w:t>WDI</w:t>
      </w:r>
    </w:p>
    <w:p w:rsidR="00287A7D" w:rsidRDefault="00332F0B" w:rsidP="00332F0B">
      <w:pPr>
        <w:jc w:val="both"/>
        <w:rPr>
          <w:rFonts w:ascii="Times New Roman" w:hAnsi="Times New Roman" w:cs="Times New Roman"/>
          <w:sz w:val="24"/>
        </w:rPr>
      </w:pPr>
      <w:r w:rsidRPr="002279BE">
        <w:rPr>
          <w:rFonts w:ascii="Times New Roman" w:hAnsi="Times New Roman" w:cs="Times New Roman"/>
          <w:sz w:val="24"/>
        </w:rPr>
        <w:t xml:space="preserve">Le temps moyen d’attente des navires porte-conteneurs en rade </w:t>
      </w:r>
      <w:r w:rsidR="00463CA1">
        <w:rPr>
          <w:rFonts w:ascii="Times New Roman" w:hAnsi="Times New Roman" w:cs="Times New Roman"/>
          <w:sz w:val="24"/>
        </w:rPr>
        <w:t>n’a pas été considérablement réduit pendant la période d’exécution ; ceci résulterait de</w:t>
      </w:r>
      <w:r w:rsidRPr="002279BE">
        <w:rPr>
          <w:rFonts w:ascii="Times New Roman" w:hAnsi="Times New Roman" w:cs="Times New Roman"/>
          <w:sz w:val="24"/>
        </w:rPr>
        <w:t xml:space="preserve"> la congestion </w:t>
      </w:r>
      <w:r w:rsidR="00E22B13">
        <w:rPr>
          <w:rFonts w:ascii="Times New Roman" w:hAnsi="Times New Roman" w:cs="Times New Roman"/>
          <w:sz w:val="24"/>
        </w:rPr>
        <w:t xml:space="preserve">due à </w:t>
      </w:r>
      <w:r w:rsidRPr="002279BE">
        <w:rPr>
          <w:rFonts w:ascii="Times New Roman" w:hAnsi="Times New Roman" w:cs="Times New Roman"/>
          <w:sz w:val="24"/>
        </w:rPr>
        <w:t xml:space="preserve">l’importation massive des matériaux et équipements nécessaires aux travaux réalisés dans le cadre du sommet de la CEN-SAD en 2008. </w:t>
      </w:r>
      <w:r w:rsidR="00E22B13">
        <w:rPr>
          <w:rFonts w:ascii="Times New Roman" w:hAnsi="Times New Roman" w:cs="Times New Roman"/>
          <w:sz w:val="24"/>
        </w:rPr>
        <w:t>Cependant, l</w:t>
      </w:r>
      <w:r w:rsidRPr="002279BE">
        <w:rPr>
          <w:rFonts w:ascii="Times New Roman" w:hAnsi="Times New Roman" w:cs="Times New Roman"/>
          <w:sz w:val="24"/>
        </w:rPr>
        <w:t xml:space="preserve">a mise en place du mode logistique </w:t>
      </w:r>
      <w:r w:rsidR="00E22B13">
        <w:rPr>
          <w:rFonts w:ascii="Times New Roman" w:hAnsi="Times New Roman" w:cs="Times New Roman"/>
          <w:sz w:val="24"/>
        </w:rPr>
        <w:t>"</w:t>
      </w:r>
      <w:r w:rsidRPr="002279BE">
        <w:rPr>
          <w:rFonts w:ascii="Times New Roman" w:hAnsi="Times New Roman" w:cs="Times New Roman"/>
          <w:sz w:val="24"/>
        </w:rPr>
        <w:t>Fenêtre d’Accostage Fixe</w:t>
      </w:r>
      <w:r w:rsidR="00E22B13">
        <w:rPr>
          <w:rFonts w:ascii="Times New Roman" w:hAnsi="Times New Roman" w:cs="Times New Roman"/>
          <w:sz w:val="24"/>
        </w:rPr>
        <w:t xml:space="preserve">" en </w:t>
      </w:r>
      <w:r w:rsidRPr="002279BE">
        <w:rPr>
          <w:rFonts w:ascii="Times New Roman" w:hAnsi="Times New Roman" w:cs="Times New Roman"/>
          <w:sz w:val="24"/>
        </w:rPr>
        <w:t xml:space="preserve">octobre 2009 a contribué à réduire significativement </w:t>
      </w:r>
      <w:r w:rsidR="00E22B13">
        <w:rPr>
          <w:rFonts w:ascii="Times New Roman" w:hAnsi="Times New Roman" w:cs="Times New Roman"/>
          <w:sz w:val="24"/>
        </w:rPr>
        <w:t xml:space="preserve">le temps moyen d’attente en rade </w:t>
      </w:r>
      <w:r w:rsidR="002A531E">
        <w:rPr>
          <w:rFonts w:ascii="Times New Roman" w:hAnsi="Times New Roman" w:cs="Times New Roman"/>
          <w:sz w:val="24"/>
        </w:rPr>
        <w:t>jusqu’à la fin du programme et au-delà</w:t>
      </w:r>
      <w:r w:rsidR="007973DF">
        <w:rPr>
          <w:rFonts w:ascii="Times New Roman" w:hAnsi="Times New Roman" w:cs="Times New Roman"/>
          <w:sz w:val="24"/>
        </w:rPr>
        <w:t xml:space="preserve"> (MCA Bénin, 2012)</w:t>
      </w:r>
      <w:r w:rsidRPr="002279BE">
        <w:rPr>
          <w:rFonts w:ascii="Times New Roman" w:hAnsi="Times New Roman" w:cs="Times New Roman"/>
          <w:sz w:val="24"/>
        </w:rPr>
        <w:t>.</w:t>
      </w:r>
      <w:r w:rsidR="002A531E">
        <w:rPr>
          <w:rFonts w:ascii="Times New Roman" w:hAnsi="Times New Roman" w:cs="Times New Roman"/>
          <w:sz w:val="24"/>
        </w:rPr>
        <w:t xml:space="preserve"> Ceci est remarquable sur la figure 3</w:t>
      </w:r>
      <w:r w:rsidR="00D20E47">
        <w:rPr>
          <w:rFonts w:ascii="Times New Roman" w:hAnsi="Times New Roman" w:cs="Times New Roman"/>
          <w:sz w:val="24"/>
        </w:rPr>
        <w:t>.</w:t>
      </w:r>
      <w:r w:rsidR="002A531E">
        <w:rPr>
          <w:rFonts w:ascii="Times New Roman" w:hAnsi="Times New Roman" w:cs="Times New Roman"/>
          <w:sz w:val="24"/>
        </w:rPr>
        <w:t>b, avec une baisse drastique du nombre de jour</w:t>
      </w:r>
      <w:r w:rsidR="007973DF">
        <w:rPr>
          <w:rFonts w:ascii="Times New Roman" w:hAnsi="Times New Roman" w:cs="Times New Roman"/>
          <w:sz w:val="24"/>
        </w:rPr>
        <w:t>s</w:t>
      </w:r>
      <w:r w:rsidR="002A531E">
        <w:rPr>
          <w:rFonts w:ascii="Times New Roman" w:hAnsi="Times New Roman" w:cs="Times New Roman"/>
          <w:sz w:val="24"/>
        </w:rPr>
        <w:t xml:space="preserve"> nécessaires aussi bien à l’</w:t>
      </w:r>
      <w:r w:rsidR="007973DF">
        <w:rPr>
          <w:rFonts w:ascii="Times New Roman" w:hAnsi="Times New Roman" w:cs="Times New Roman"/>
          <w:sz w:val="24"/>
        </w:rPr>
        <w:t>ex</w:t>
      </w:r>
      <w:r w:rsidR="002A531E">
        <w:rPr>
          <w:rFonts w:ascii="Times New Roman" w:hAnsi="Times New Roman" w:cs="Times New Roman"/>
          <w:sz w:val="24"/>
        </w:rPr>
        <w:t>portation qu’à l’importation depuis la réalisation des investissements</w:t>
      </w:r>
      <w:r w:rsidR="007973DF">
        <w:rPr>
          <w:rFonts w:ascii="Times New Roman" w:hAnsi="Times New Roman" w:cs="Times New Roman"/>
          <w:sz w:val="24"/>
        </w:rPr>
        <w:t xml:space="preserve"> en 2007 notamment</w:t>
      </w:r>
      <w:r w:rsidR="002A531E">
        <w:rPr>
          <w:rFonts w:ascii="Times New Roman" w:hAnsi="Times New Roman" w:cs="Times New Roman"/>
          <w:sz w:val="24"/>
        </w:rPr>
        <w:t>.</w:t>
      </w:r>
      <w:r w:rsidRPr="002279BE">
        <w:rPr>
          <w:rFonts w:ascii="Times New Roman" w:hAnsi="Times New Roman" w:cs="Times New Roman"/>
          <w:sz w:val="24"/>
        </w:rPr>
        <w:t xml:space="preserve"> </w:t>
      </w:r>
      <w:r w:rsidR="007973DF">
        <w:rPr>
          <w:rFonts w:ascii="Times New Roman" w:hAnsi="Times New Roman" w:cs="Times New Roman"/>
          <w:sz w:val="24"/>
        </w:rPr>
        <w:t xml:space="preserve">A l’opposé, </w:t>
      </w:r>
      <w:r w:rsidRPr="00F3334B">
        <w:rPr>
          <w:rFonts w:ascii="Times New Roman" w:hAnsi="Times New Roman" w:cs="Times New Roman"/>
          <w:b/>
          <w:sz w:val="24"/>
        </w:rPr>
        <w:t xml:space="preserve">la durée moyenne de séjour des navires porte-conteneurs </w:t>
      </w:r>
      <w:r w:rsidR="007973DF" w:rsidRPr="00F3334B">
        <w:rPr>
          <w:rFonts w:ascii="Times New Roman" w:hAnsi="Times New Roman" w:cs="Times New Roman"/>
          <w:b/>
          <w:sz w:val="24"/>
        </w:rPr>
        <w:t>à</w:t>
      </w:r>
      <w:r w:rsidRPr="00F3334B">
        <w:rPr>
          <w:rFonts w:ascii="Times New Roman" w:hAnsi="Times New Roman" w:cs="Times New Roman"/>
          <w:b/>
          <w:sz w:val="24"/>
        </w:rPr>
        <w:t xml:space="preserve"> quai a diminué</w:t>
      </w:r>
      <w:r w:rsidR="007973DF" w:rsidRPr="00F3334B">
        <w:rPr>
          <w:rFonts w:ascii="Times New Roman" w:hAnsi="Times New Roman" w:cs="Times New Roman"/>
          <w:b/>
          <w:sz w:val="24"/>
        </w:rPr>
        <w:t xml:space="preserve"> dans le temps</w:t>
      </w:r>
      <w:r w:rsidR="00F3334B" w:rsidRPr="00F3334B">
        <w:rPr>
          <w:rFonts w:ascii="Times New Roman" w:hAnsi="Times New Roman" w:cs="Times New Roman"/>
          <w:b/>
          <w:sz w:val="24"/>
        </w:rPr>
        <w:t xml:space="preserve"> dans l’ordre de 6.9% en moyenne annuelle</w:t>
      </w:r>
      <w:r w:rsidR="00F3334B">
        <w:rPr>
          <w:rFonts w:ascii="Times New Roman" w:hAnsi="Times New Roman" w:cs="Times New Roman"/>
          <w:sz w:val="24"/>
        </w:rPr>
        <w:t xml:space="preserve"> passant de 2 </w:t>
      </w:r>
      <w:r w:rsidR="005819C3">
        <w:rPr>
          <w:rFonts w:ascii="Times New Roman" w:hAnsi="Times New Roman" w:cs="Times New Roman"/>
          <w:sz w:val="24"/>
        </w:rPr>
        <w:t xml:space="preserve">jours </w:t>
      </w:r>
      <w:r w:rsidR="00F3334B">
        <w:rPr>
          <w:rFonts w:ascii="Times New Roman" w:hAnsi="Times New Roman" w:cs="Times New Roman"/>
          <w:sz w:val="24"/>
        </w:rPr>
        <w:t>en 2006 à 1.31 jours en 20</w:t>
      </w:r>
      <w:r w:rsidR="005819C3">
        <w:rPr>
          <w:rFonts w:ascii="Times New Roman" w:hAnsi="Times New Roman" w:cs="Times New Roman"/>
          <w:sz w:val="24"/>
        </w:rPr>
        <w:t>11</w:t>
      </w:r>
      <w:r w:rsidR="00287A7D">
        <w:rPr>
          <w:rStyle w:val="Appelnotedebasdep"/>
          <w:rFonts w:ascii="Times New Roman" w:hAnsi="Times New Roman" w:cs="Times New Roman"/>
          <w:sz w:val="24"/>
        </w:rPr>
        <w:footnoteReference w:id="8"/>
      </w:r>
      <w:r w:rsidRPr="002279BE">
        <w:rPr>
          <w:rFonts w:ascii="Times New Roman" w:hAnsi="Times New Roman" w:cs="Times New Roman"/>
          <w:sz w:val="24"/>
        </w:rPr>
        <w:t xml:space="preserve">. </w:t>
      </w:r>
      <w:r w:rsidR="00287A7D">
        <w:rPr>
          <w:rFonts w:ascii="Times New Roman" w:hAnsi="Times New Roman" w:cs="Times New Roman"/>
          <w:sz w:val="24"/>
        </w:rPr>
        <w:t>Cette tendance reste compatible avec la baisse du temps moyen nécessaire à l’importation dans la figure 3</w:t>
      </w:r>
      <w:r w:rsidR="00D20E47">
        <w:rPr>
          <w:rFonts w:ascii="Times New Roman" w:hAnsi="Times New Roman" w:cs="Times New Roman"/>
          <w:sz w:val="24"/>
        </w:rPr>
        <w:t>.</w:t>
      </w:r>
      <w:r w:rsidR="00287A7D">
        <w:rPr>
          <w:rFonts w:ascii="Times New Roman" w:hAnsi="Times New Roman" w:cs="Times New Roman"/>
          <w:sz w:val="24"/>
        </w:rPr>
        <w:t xml:space="preserve">b ; avec les données de la Banque mondiale, la réduction du temps à l’importation </w:t>
      </w:r>
      <w:r w:rsidR="00711B8A">
        <w:rPr>
          <w:rFonts w:ascii="Times New Roman" w:hAnsi="Times New Roman" w:cs="Times New Roman"/>
          <w:sz w:val="24"/>
        </w:rPr>
        <w:t xml:space="preserve">et à l’exportation </w:t>
      </w:r>
      <w:r w:rsidR="00287A7D">
        <w:rPr>
          <w:rFonts w:ascii="Times New Roman" w:hAnsi="Times New Roman" w:cs="Times New Roman"/>
          <w:sz w:val="24"/>
        </w:rPr>
        <w:t xml:space="preserve">est de </w:t>
      </w:r>
      <w:r w:rsidR="00711B8A">
        <w:rPr>
          <w:rFonts w:ascii="Times New Roman" w:hAnsi="Times New Roman" w:cs="Times New Roman"/>
          <w:sz w:val="24"/>
        </w:rPr>
        <w:t>3.42% et 2.64% en moyenne annuelle. Ce qui constitue un gain particulièrement important en termes de temps dans les échanges commerciaux, résultant des politiques et réformes entreprises.</w:t>
      </w:r>
      <w:r w:rsidR="00287A7D">
        <w:rPr>
          <w:rFonts w:ascii="Times New Roman" w:hAnsi="Times New Roman" w:cs="Times New Roman"/>
          <w:sz w:val="24"/>
        </w:rPr>
        <w:t xml:space="preserve"> </w:t>
      </w:r>
    </w:p>
    <w:p w:rsidR="007B2203" w:rsidRDefault="001D6BDF" w:rsidP="00184CBA">
      <w:pPr>
        <w:spacing w:before="120" w:after="120"/>
        <w:jc w:val="both"/>
        <w:rPr>
          <w:rFonts w:ascii="Times New Roman" w:hAnsi="Times New Roman" w:cs="Times New Roman"/>
          <w:sz w:val="24"/>
          <w:szCs w:val="24"/>
        </w:rPr>
      </w:pPr>
      <w:r w:rsidRPr="001D6BDF">
        <w:rPr>
          <w:rFonts w:ascii="Times New Roman" w:hAnsi="Times New Roman" w:cs="Times New Roman"/>
          <w:sz w:val="24"/>
          <w:szCs w:val="24"/>
        </w:rPr>
        <w:t>Le rappor</w:t>
      </w:r>
      <w:r>
        <w:rPr>
          <w:rFonts w:ascii="Times New Roman" w:hAnsi="Times New Roman" w:cs="Times New Roman"/>
          <w:sz w:val="24"/>
          <w:szCs w:val="24"/>
        </w:rPr>
        <w:t>t d’achèvement du programme du Bénin pour le MCA revient sur d’autres indicateurs tels que l</w:t>
      </w:r>
      <w:r w:rsidR="00332F0B" w:rsidRPr="001D6BDF">
        <w:rPr>
          <w:rFonts w:ascii="Times New Roman" w:hAnsi="Times New Roman" w:cs="Times New Roman"/>
          <w:sz w:val="24"/>
          <w:szCs w:val="24"/>
        </w:rPr>
        <w:t>e temps d’attente des camions au port</w:t>
      </w:r>
      <w:r>
        <w:rPr>
          <w:rFonts w:ascii="Times New Roman" w:hAnsi="Times New Roman" w:cs="Times New Roman"/>
          <w:sz w:val="24"/>
          <w:szCs w:val="24"/>
        </w:rPr>
        <w:t xml:space="preserve">, le temps de transit et les cas de vol dans l’enceinte portuaire. </w:t>
      </w:r>
      <w:r w:rsidR="00332F0B" w:rsidRPr="001D6BDF">
        <w:rPr>
          <w:rFonts w:ascii="Times New Roman" w:hAnsi="Times New Roman" w:cs="Times New Roman"/>
          <w:sz w:val="24"/>
          <w:szCs w:val="24"/>
        </w:rPr>
        <w:t xml:space="preserve">Bien qu’indiquant une évolution erratique, </w:t>
      </w:r>
      <w:r>
        <w:rPr>
          <w:rFonts w:ascii="Times New Roman" w:hAnsi="Times New Roman" w:cs="Times New Roman"/>
          <w:sz w:val="24"/>
          <w:szCs w:val="24"/>
        </w:rPr>
        <w:t>le premier i</w:t>
      </w:r>
      <w:r w:rsidR="00332F0B" w:rsidRPr="001D6BDF">
        <w:rPr>
          <w:rFonts w:ascii="Times New Roman" w:hAnsi="Times New Roman" w:cs="Times New Roman"/>
          <w:sz w:val="24"/>
          <w:szCs w:val="24"/>
        </w:rPr>
        <w:t>ndicateur suit une tendance baissière qu’il faut mettre à l’actif du Plan d’Action</w:t>
      </w:r>
      <w:r w:rsidR="005819C3">
        <w:rPr>
          <w:rFonts w:ascii="Times New Roman" w:hAnsi="Times New Roman" w:cs="Times New Roman"/>
          <w:sz w:val="24"/>
          <w:szCs w:val="24"/>
        </w:rPr>
        <w:t>s</w:t>
      </w:r>
      <w:r w:rsidR="00332F0B" w:rsidRPr="001D6BDF">
        <w:rPr>
          <w:rFonts w:ascii="Times New Roman" w:hAnsi="Times New Roman" w:cs="Times New Roman"/>
          <w:sz w:val="24"/>
          <w:szCs w:val="24"/>
        </w:rPr>
        <w:t xml:space="preserve"> mis en place pour en assurer un meilleur suivi et une gestion plus rationnelle du séjour des camions gros porteurs </w:t>
      </w:r>
      <w:r w:rsidR="00332F0B" w:rsidRPr="001D6BDF">
        <w:rPr>
          <w:rFonts w:ascii="Times New Roman" w:hAnsi="Times New Roman" w:cs="Times New Roman"/>
          <w:sz w:val="24"/>
          <w:szCs w:val="24"/>
        </w:rPr>
        <w:lastRenderedPageBreak/>
        <w:t>dans l’enceinte portuaire</w:t>
      </w:r>
      <w:r>
        <w:rPr>
          <w:rStyle w:val="Appelnotedebasdep"/>
          <w:rFonts w:ascii="Times New Roman" w:hAnsi="Times New Roman" w:cs="Times New Roman"/>
          <w:sz w:val="24"/>
          <w:szCs w:val="24"/>
        </w:rPr>
        <w:footnoteReference w:id="9"/>
      </w:r>
      <w:r>
        <w:rPr>
          <w:rFonts w:ascii="Times New Roman" w:hAnsi="Times New Roman" w:cs="Times New Roman"/>
          <w:sz w:val="24"/>
          <w:szCs w:val="24"/>
        </w:rPr>
        <w:t xml:space="preserve"> (MCA Bénin, 2012)</w:t>
      </w:r>
      <w:r w:rsidR="00332F0B" w:rsidRPr="001D6BDF">
        <w:rPr>
          <w:rFonts w:ascii="Times New Roman" w:hAnsi="Times New Roman" w:cs="Times New Roman"/>
          <w:sz w:val="24"/>
          <w:szCs w:val="24"/>
        </w:rPr>
        <w:t xml:space="preserve">. Le temps </w:t>
      </w:r>
      <w:r w:rsidR="00E22380">
        <w:rPr>
          <w:rFonts w:ascii="Times New Roman" w:hAnsi="Times New Roman" w:cs="Times New Roman"/>
          <w:sz w:val="24"/>
          <w:szCs w:val="24"/>
        </w:rPr>
        <w:t xml:space="preserve">de </w:t>
      </w:r>
      <w:r w:rsidR="00332F0B" w:rsidRPr="001D6BDF">
        <w:rPr>
          <w:rFonts w:ascii="Times New Roman" w:hAnsi="Times New Roman" w:cs="Times New Roman"/>
          <w:sz w:val="24"/>
          <w:szCs w:val="24"/>
        </w:rPr>
        <w:t>transit douanier</w:t>
      </w:r>
      <w:r>
        <w:rPr>
          <w:rFonts w:ascii="Times New Roman" w:hAnsi="Times New Roman" w:cs="Times New Roman"/>
          <w:sz w:val="24"/>
          <w:szCs w:val="24"/>
        </w:rPr>
        <w:t xml:space="preserve"> </w:t>
      </w:r>
      <w:r w:rsidR="00332F0B" w:rsidRPr="001D6BDF">
        <w:rPr>
          <w:rFonts w:ascii="Times New Roman" w:hAnsi="Times New Roman" w:cs="Times New Roman"/>
          <w:sz w:val="24"/>
          <w:szCs w:val="24"/>
        </w:rPr>
        <w:t xml:space="preserve">qui </w:t>
      </w:r>
      <w:r>
        <w:rPr>
          <w:rFonts w:ascii="Times New Roman" w:hAnsi="Times New Roman" w:cs="Times New Roman"/>
          <w:sz w:val="24"/>
          <w:szCs w:val="24"/>
        </w:rPr>
        <w:t xml:space="preserve">était de </w:t>
      </w:r>
      <w:r w:rsidR="00332F0B" w:rsidRPr="001D6BDF">
        <w:rPr>
          <w:rFonts w:ascii="Times New Roman" w:hAnsi="Times New Roman" w:cs="Times New Roman"/>
          <w:sz w:val="24"/>
          <w:szCs w:val="24"/>
        </w:rPr>
        <w:t>3</w:t>
      </w:r>
      <w:r>
        <w:rPr>
          <w:rFonts w:ascii="Times New Roman" w:hAnsi="Times New Roman" w:cs="Times New Roman"/>
          <w:sz w:val="24"/>
          <w:szCs w:val="24"/>
        </w:rPr>
        <w:t>.</w:t>
      </w:r>
      <w:r w:rsidR="00332F0B" w:rsidRPr="001D6BDF">
        <w:rPr>
          <w:rFonts w:ascii="Times New Roman" w:hAnsi="Times New Roman" w:cs="Times New Roman"/>
          <w:sz w:val="24"/>
          <w:szCs w:val="24"/>
        </w:rPr>
        <w:t>80 jours en 2006 a enregistré une baisse continue pour s’établir à 2</w:t>
      </w:r>
      <w:r>
        <w:rPr>
          <w:rFonts w:ascii="Times New Roman" w:hAnsi="Times New Roman" w:cs="Times New Roman"/>
          <w:sz w:val="24"/>
          <w:szCs w:val="24"/>
        </w:rPr>
        <w:t>.</w:t>
      </w:r>
      <w:r w:rsidR="00332F0B" w:rsidRPr="001D6BDF">
        <w:rPr>
          <w:rFonts w:ascii="Times New Roman" w:hAnsi="Times New Roman" w:cs="Times New Roman"/>
          <w:sz w:val="24"/>
          <w:szCs w:val="24"/>
        </w:rPr>
        <w:t>93 jours en 2011</w:t>
      </w:r>
      <w:r>
        <w:rPr>
          <w:rStyle w:val="Appelnotedebasdep"/>
          <w:rFonts w:ascii="Times New Roman" w:hAnsi="Times New Roman" w:cs="Times New Roman"/>
          <w:sz w:val="24"/>
          <w:szCs w:val="24"/>
        </w:rPr>
        <w:footnoteReference w:id="10"/>
      </w:r>
      <w:r w:rsidR="00332F0B" w:rsidRPr="001D6BDF">
        <w:rPr>
          <w:rFonts w:ascii="Times New Roman" w:hAnsi="Times New Roman" w:cs="Times New Roman"/>
          <w:sz w:val="24"/>
          <w:szCs w:val="24"/>
        </w:rPr>
        <w:t xml:space="preserve">. </w:t>
      </w:r>
      <w:r>
        <w:rPr>
          <w:rFonts w:ascii="Times New Roman" w:hAnsi="Times New Roman" w:cs="Times New Roman"/>
          <w:sz w:val="24"/>
          <w:szCs w:val="24"/>
        </w:rPr>
        <w:t xml:space="preserve">Enfin, </w:t>
      </w:r>
      <w:r w:rsidR="00231F99">
        <w:rPr>
          <w:rFonts w:ascii="Times New Roman" w:hAnsi="Times New Roman" w:cs="Times New Roman"/>
          <w:sz w:val="24"/>
          <w:szCs w:val="24"/>
        </w:rPr>
        <w:t>au titre de l’indicateur de mesure de la sécurité des opérations portuaires, le nombre de vol</w:t>
      </w:r>
      <w:r w:rsidR="00A73CE3">
        <w:rPr>
          <w:rFonts w:ascii="Times New Roman" w:hAnsi="Times New Roman" w:cs="Times New Roman"/>
          <w:sz w:val="24"/>
          <w:szCs w:val="24"/>
        </w:rPr>
        <w:t>s</w:t>
      </w:r>
      <w:r w:rsidR="00231F99">
        <w:rPr>
          <w:rFonts w:ascii="Times New Roman" w:hAnsi="Times New Roman" w:cs="Times New Roman"/>
          <w:sz w:val="24"/>
          <w:szCs w:val="24"/>
        </w:rPr>
        <w:t xml:space="preserve"> sur la plateforme est considéré : l</w:t>
      </w:r>
      <w:r w:rsidR="00A73CE3">
        <w:rPr>
          <w:rFonts w:ascii="Times New Roman" w:hAnsi="Times New Roman" w:cs="Times New Roman"/>
          <w:sz w:val="24"/>
          <w:szCs w:val="24"/>
        </w:rPr>
        <w:t xml:space="preserve">e niveau de vols </w:t>
      </w:r>
      <w:r w:rsidR="00711B8A" w:rsidRPr="001D6BDF">
        <w:rPr>
          <w:rFonts w:ascii="Times New Roman" w:hAnsi="Times New Roman" w:cs="Times New Roman"/>
          <w:sz w:val="24"/>
          <w:szCs w:val="24"/>
        </w:rPr>
        <w:t>enregistrés à la brigade spéciale du port suit une évolution erratiqu</w:t>
      </w:r>
      <w:r w:rsidR="00A73CE3">
        <w:rPr>
          <w:rFonts w:ascii="Times New Roman" w:hAnsi="Times New Roman" w:cs="Times New Roman"/>
          <w:sz w:val="24"/>
          <w:szCs w:val="24"/>
        </w:rPr>
        <w:t>e faite de hausse et de baisse.</w:t>
      </w:r>
    </w:p>
    <w:p w:rsidR="00184CBA" w:rsidRDefault="00184CBA" w:rsidP="00184CBA">
      <w:pPr>
        <w:spacing w:before="120" w:after="120"/>
        <w:jc w:val="both"/>
        <w:rPr>
          <w:rFonts w:ascii="Times New Roman" w:hAnsi="Times New Roman" w:cs="Times New Roman"/>
          <w:sz w:val="24"/>
          <w:szCs w:val="24"/>
        </w:rPr>
      </w:pPr>
      <w:r>
        <w:rPr>
          <w:rFonts w:ascii="Times New Roman" w:hAnsi="Times New Roman" w:cs="Times New Roman"/>
          <w:sz w:val="24"/>
          <w:szCs w:val="24"/>
        </w:rPr>
        <w:t>La logique d’intervention de la composante "accès au marché" du programme MCA n’inclut pas explicitement la réduction des coûts de traitement des opérations portuaires (MCA Bénin, 2012) ; c’est pourquoi, l’analyse de coût doit s’interpréter en termes de réduction de coût de transaction induite par des gains potentiels de temps aussi bien en rade, à quai que dans le traitement des dossiers au niveau du guichet unique. La figure 4 suivante permet d’apprécier la hausse des coûts de traitement par conteneurs à l’importation et à l’exportation.</w:t>
      </w:r>
    </w:p>
    <w:p w:rsidR="00184CBA" w:rsidRDefault="00184CBA" w:rsidP="00184CBA">
      <w:pPr>
        <w:spacing w:before="120" w:after="120"/>
        <w:jc w:val="both"/>
        <w:rPr>
          <w:rFonts w:ascii="Times New Roman" w:hAnsi="Times New Roman" w:cs="Times New Roman"/>
          <w:sz w:val="24"/>
          <w:szCs w:val="24"/>
        </w:rPr>
      </w:pPr>
      <w:r w:rsidRPr="00184CBA">
        <w:rPr>
          <w:rFonts w:ascii="Times New Roman" w:hAnsi="Times New Roman" w:cs="Times New Roman"/>
          <w:noProof/>
          <w:sz w:val="24"/>
          <w:szCs w:val="24"/>
        </w:rPr>
        <w:drawing>
          <wp:inline distT="0" distB="0" distL="0" distR="0">
            <wp:extent cx="5686425" cy="3152775"/>
            <wp:effectExtent l="19050" t="0" r="9525"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sz w:val="24"/>
          <w:szCs w:val="24"/>
        </w:rPr>
        <w:t xml:space="preserve"> </w:t>
      </w:r>
    </w:p>
    <w:p w:rsidR="00184CBA" w:rsidRPr="007047A8" w:rsidRDefault="007047A8" w:rsidP="00184CBA">
      <w:pPr>
        <w:spacing w:before="120" w:after="120"/>
        <w:jc w:val="both"/>
        <w:rPr>
          <w:rFonts w:ascii="Times New Roman" w:hAnsi="Times New Roman" w:cs="Times New Roman"/>
          <w:sz w:val="24"/>
          <w:szCs w:val="24"/>
        </w:rPr>
      </w:pPr>
      <w:r w:rsidRPr="007047A8">
        <w:rPr>
          <w:rFonts w:ascii="Times New Roman" w:hAnsi="Times New Roman" w:cs="Times New Roman"/>
          <w:sz w:val="24"/>
          <w:szCs w:val="24"/>
        </w:rPr>
        <w:t>Source : Auteurs, donnée WDI</w:t>
      </w:r>
      <w:r w:rsidR="00212A38">
        <w:rPr>
          <w:rFonts w:ascii="Times New Roman" w:hAnsi="Times New Roman" w:cs="Times New Roman"/>
          <w:sz w:val="24"/>
          <w:szCs w:val="24"/>
        </w:rPr>
        <w:t>.</w:t>
      </w:r>
    </w:p>
    <w:p w:rsidR="00332F0B" w:rsidRDefault="007047A8" w:rsidP="00184CBA">
      <w:pPr>
        <w:spacing w:before="120" w:after="120"/>
        <w:jc w:val="both"/>
        <w:rPr>
          <w:rFonts w:ascii="Times New Roman" w:hAnsi="Times New Roman" w:cs="Times New Roman"/>
          <w:sz w:val="24"/>
          <w:szCs w:val="24"/>
        </w:rPr>
      </w:pPr>
      <w:r w:rsidRPr="007047A8">
        <w:rPr>
          <w:rFonts w:ascii="Times New Roman" w:hAnsi="Times New Roman" w:cs="Times New Roman"/>
          <w:sz w:val="24"/>
          <w:szCs w:val="24"/>
        </w:rPr>
        <w:t xml:space="preserve">Sans conteste, les coûts liés au traitement des importations apparaissent plus élevés que ceux qui sont liés au traitement des exportations. La dynamique des coûts montre une tendance haussière des deux types de coûts, une tendance plus lourde en ce qui concerne les importations au PAC, et ceci, à partir de 2008 notamment.  </w:t>
      </w:r>
      <w:r w:rsidRPr="00987B21">
        <w:rPr>
          <w:rFonts w:ascii="Times New Roman" w:hAnsi="Times New Roman" w:cs="Times New Roman"/>
          <w:b/>
          <w:sz w:val="24"/>
          <w:szCs w:val="24"/>
        </w:rPr>
        <w:t>En conséquence, la mise en œuvre des investissements de réformes et de facilitation au PAC dans le cadre du programme MCA pourrait s’accompagner d’une hausse du coût de traitement des opérations portuaires dans l’ordre de 0.66% et 2.17%</w:t>
      </w:r>
      <w:r w:rsidR="00212A38" w:rsidRPr="00987B21">
        <w:rPr>
          <w:rFonts w:ascii="Times New Roman" w:hAnsi="Times New Roman" w:cs="Times New Roman"/>
          <w:b/>
          <w:sz w:val="24"/>
          <w:szCs w:val="24"/>
        </w:rPr>
        <w:t xml:space="preserve"> en moyenne annuelle pour les exportations et importations respectivement</w:t>
      </w:r>
      <w:r w:rsidR="00212A38">
        <w:rPr>
          <w:rFonts w:ascii="Times New Roman" w:hAnsi="Times New Roman" w:cs="Times New Roman"/>
          <w:sz w:val="24"/>
          <w:szCs w:val="24"/>
        </w:rPr>
        <w:t xml:space="preserve">. Ainsi, en termes clairs, à la réduction des délais et temps de traitement s’oppose une augmentation des coûts de traitement : </w:t>
      </w:r>
      <w:r w:rsidR="005819C3">
        <w:rPr>
          <w:rFonts w:ascii="Times New Roman" w:hAnsi="Times New Roman" w:cs="Times New Roman"/>
          <w:sz w:val="24"/>
          <w:szCs w:val="24"/>
        </w:rPr>
        <w:t xml:space="preserve">cette </w:t>
      </w:r>
      <w:r w:rsidR="005819C3">
        <w:rPr>
          <w:rFonts w:ascii="Times New Roman" w:hAnsi="Times New Roman" w:cs="Times New Roman"/>
          <w:sz w:val="24"/>
          <w:szCs w:val="24"/>
        </w:rPr>
        <w:lastRenderedPageBreak/>
        <w:t>situation qui pourrait s’expliquer par une nouvelle structure de facturation des services suivant le principe du rapport qualité-prix étant donné les nouvelles infrastructures. C</w:t>
      </w:r>
      <w:r w:rsidR="00212A38">
        <w:rPr>
          <w:rFonts w:ascii="Times New Roman" w:hAnsi="Times New Roman" w:cs="Times New Roman"/>
          <w:sz w:val="24"/>
          <w:szCs w:val="24"/>
        </w:rPr>
        <w:t xml:space="preserve">’est pourquoi, la réduction des coûts de transaction liée au gain de temps devient importante pour apprécier globalement </w:t>
      </w:r>
      <w:r w:rsidR="0020748D">
        <w:rPr>
          <w:rFonts w:ascii="Times New Roman" w:hAnsi="Times New Roman" w:cs="Times New Roman"/>
          <w:sz w:val="24"/>
          <w:szCs w:val="24"/>
        </w:rPr>
        <w:t>l’impact des réformes et politiques de facilitation sur les coûts au PAC.</w:t>
      </w:r>
    </w:p>
    <w:p w:rsidR="00F73E0A" w:rsidRDefault="00435D3C" w:rsidP="00332F0B">
      <w:pPr>
        <w:jc w:val="both"/>
        <w:rPr>
          <w:rFonts w:ascii="Times New Roman" w:hAnsi="Times New Roman" w:cs="Times New Roman"/>
          <w:sz w:val="24"/>
          <w:szCs w:val="24"/>
        </w:rPr>
      </w:pPr>
      <w:r>
        <w:rPr>
          <w:rFonts w:ascii="Times New Roman" w:hAnsi="Times New Roman" w:cs="Times New Roman"/>
          <w:sz w:val="24"/>
          <w:szCs w:val="24"/>
        </w:rPr>
        <w:t xml:space="preserve">Avant </w:t>
      </w:r>
      <w:r w:rsidR="00967964">
        <w:rPr>
          <w:rFonts w:ascii="Times New Roman" w:hAnsi="Times New Roman" w:cs="Times New Roman"/>
          <w:sz w:val="24"/>
          <w:szCs w:val="24"/>
        </w:rPr>
        <w:t xml:space="preserve">l’estimation </w:t>
      </w:r>
      <w:r>
        <w:rPr>
          <w:rFonts w:ascii="Times New Roman" w:hAnsi="Times New Roman" w:cs="Times New Roman"/>
          <w:sz w:val="24"/>
          <w:szCs w:val="24"/>
        </w:rPr>
        <w:t>d</w:t>
      </w:r>
      <w:r w:rsidR="00967964">
        <w:rPr>
          <w:rFonts w:ascii="Times New Roman" w:hAnsi="Times New Roman" w:cs="Times New Roman"/>
          <w:sz w:val="24"/>
          <w:szCs w:val="24"/>
        </w:rPr>
        <w:t xml:space="preserve">u modèle explicatif des importations, la causalité entre les variables principales est appréciée </w:t>
      </w:r>
      <w:r w:rsidR="00A84810">
        <w:rPr>
          <w:rFonts w:ascii="Times New Roman" w:hAnsi="Times New Roman" w:cs="Times New Roman"/>
          <w:sz w:val="24"/>
          <w:szCs w:val="24"/>
        </w:rPr>
        <w:t>pour appuyer les analyses et interprétations graphiques ; les résultats du test de causalité au sens de Granger (1969) sont consignés dans l</w:t>
      </w:r>
      <w:r w:rsidR="005819C3">
        <w:rPr>
          <w:rFonts w:ascii="Times New Roman" w:hAnsi="Times New Roman" w:cs="Times New Roman"/>
          <w:sz w:val="24"/>
          <w:szCs w:val="24"/>
        </w:rPr>
        <w:t>e</w:t>
      </w:r>
      <w:r w:rsidR="00A84810">
        <w:rPr>
          <w:rFonts w:ascii="Times New Roman" w:hAnsi="Times New Roman" w:cs="Times New Roman"/>
          <w:sz w:val="24"/>
          <w:szCs w:val="24"/>
        </w:rPr>
        <w:t xml:space="preserve"> table</w:t>
      </w:r>
      <w:r w:rsidR="005819C3">
        <w:rPr>
          <w:rFonts w:ascii="Times New Roman" w:hAnsi="Times New Roman" w:cs="Times New Roman"/>
          <w:sz w:val="24"/>
          <w:szCs w:val="24"/>
        </w:rPr>
        <w:t>au</w:t>
      </w:r>
      <w:r w:rsidR="00A84810">
        <w:rPr>
          <w:rFonts w:ascii="Times New Roman" w:hAnsi="Times New Roman" w:cs="Times New Roman"/>
          <w:sz w:val="24"/>
          <w:szCs w:val="24"/>
        </w:rPr>
        <w:t xml:space="preserve"> 4 ci-après</w:t>
      </w:r>
      <w:r w:rsidR="00A84810" w:rsidRPr="00A84810">
        <w:rPr>
          <w:rFonts w:ascii="Times New Roman" w:hAnsi="Times New Roman" w:cs="Times New Roman"/>
          <w:sz w:val="24"/>
          <w:szCs w:val="24"/>
        </w:rPr>
        <w:t xml:space="preserve"> </w:t>
      </w:r>
      <w:r w:rsidR="00A84810">
        <w:rPr>
          <w:rFonts w:ascii="Times New Roman" w:hAnsi="Times New Roman" w:cs="Times New Roman"/>
          <w:sz w:val="24"/>
          <w:szCs w:val="24"/>
        </w:rPr>
        <w:t>pour les variables considérées pertinentes pour l’analyse.</w:t>
      </w:r>
    </w:p>
    <w:tbl>
      <w:tblPr>
        <w:tblW w:w="0" w:type="auto"/>
        <w:tblInd w:w="60" w:type="dxa"/>
        <w:tblLayout w:type="fixed"/>
        <w:tblCellMar>
          <w:left w:w="30" w:type="dxa"/>
          <w:right w:w="30" w:type="dxa"/>
        </w:tblCellMar>
        <w:tblLook w:val="0000" w:firstRow="0" w:lastRow="0" w:firstColumn="0" w:lastColumn="0" w:noHBand="0" w:noVBand="0"/>
      </w:tblPr>
      <w:tblGrid>
        <w:gridCol w:w="5499"/>
        <w:gridCol w:w="567"/>
        <w:gridCol w:w="1701"/>
        <w:gridCol w:w="1275"/>
      </w:tblGrid>
      <w:tr w:rsidR="00F73E0A" w:rsidRPr="00A84810" w:rsidTr="00B2438F">
        <w:trPr>
          <w:trHeight w:val="57"/>
        </w:trPr>
        <w:tc>
          <w:tcPr>
            <w:tcW w:w="9042" w:type="dxa"/>
            <w:gridSpan w:val="4"/>
            <w:tcBorders>
              <w:top w:val="nil"/>
              <w:left w:val="nil"/>
              <w:bottom w:val="nil"/>
              <w:right w:val="nil"/>
            </w:tcBorders>
            <w:vAlign w:val="bottom"/>
          </w:tcPr>
          <w:p w:rsidR="00F73E0A" w:rsidRPr="00A84810" w:rsidRDefault="00F73E0A" w:rsidP="00A84810">
            <w:pPr>
              <w:autoSpaceDE w:val="0"/>
              <w:autoSpaceDN w:val="0"/>
              <w:adjustRightInd w:val="0"/>
              <w:spacing w:after="0" w:line="240" w:lineRule="auto"/>
              <w:rPr>
                <w:rFonts w:ascii="Times New Roman" w:hAnsi="Times New Roman" w:cs="Times New Roman"/>
                <w:b/>
                <w:color w:val="000000"/>
              </w:rPr>
            </w:pPr>
            <w:r w:rsidRPr="00A84810">
              <w:rPr>
                <w:rFonts w:ascii="Times New Roman" w:hAnsi="Times New Roman" w:cs="Times New Roman"/>
                <w:b/>
                <w:color w:val="000000"/>
              </w:rPr>
              <w:t>Table</w:t>
            </w:r>
            <w:r w:rsidR="005819C3">
              <w:rPr>
                <w:rFonts w:ascii="Times New Roman" w:hAnsi="Times New Roman" w:cs="Times New Roman"/>
                <w:b/>
                <w:color w:val="000000"/>
              </w:rPr>
              <w:t>au</w:t>
            </w:r>
            <w:r w:rsidRPr="00A84810">
              <w:rPr>
                <w:rFonts w:ascii="Times New Roman" w:hAnsi="Times New Roman" w:cs="Times New Roman"/>
                <w:b/>
                <w:color w:val="000000"/>
              </w:rPr>
              <w:t xml:space="preserve"> 4 : </w:t>
            </w:r>
            <w:r w:rsidR="00A84810" w:rsidRPr="00A84810">
              <w:rPr>
                <w:rFonts w:ascii="Times New Roman" w:hAnsi="Times New Roman" w:cs="Times New Roman"/>
                <w:b/>
                <w:color w:val="000000"/>
              </w:rPr>
              <w:t>Résultats du test d</w:t>
            </w:r>
            <w:r w:rsidR="00A84810">
              <w:rPr>
                <w:rFonts w:ascii="Times New Roman" w:hAnsi="Times New Roman" w:cs="Times New Roman"/>
                <w:b/>
                <w:color w:val="000000"/>
              </w:rPr>
              <w:t>e causalité</w:t>
            </w:r>
          </w:p>
        </w:tc>
      </w:tr>
      <w:tr w:rsidR="00F73E0A" w:rsidRPr="00A84810" w:rsidTr="00B2438F">
        <w:trPr>
          <w:trHeight w:val="57"/>
        </w:trPr>
        <w:tc>
          <w:tcPr>
            <w:tcW w:w="5499" w:type="dxa"/>
            <w:tcBorders>
              <w:top w:val="nil"/>
              <w:left w:val="nil"/>
              <w:bottom w:val="double" w:sz="6" w:space="2" w:color="auto"/>
              <w:right w:val="nil"/>
            </w:tcBorders>
            <w:vAlign w:val="bottom"/>
          </w:tcPr>
          <w:p w:rsidR="00F73E0A" w:rsidRPr="00A84810" w:rsidRDefault="00F73E0A">
            <w:pPr>
              <w:autoSpaceDE w:val="0"/>
              <w:autoSpaceDN w:val="0"/>
              <w:adjustRightInd w:val="0"/>
              <w:spacing w:after="0" w:line="240" w:lineRule="auto"/>
              <w:jc w:val="center"/>
              <w:rPr>
                <w:rFonts w:ascii="Times New Roman" w:hAnsi="Times New Roman" w:cs="Times New Roman"/>
                <w:color w:val="000000"/>
              </w:rPr>
            </w:pPr>
          </w:p>
        </w:tc>
        <w:tc>
          <w:tcPr>
            <w:tcW w:w="567" w:type="dxa"/>
            <w:tcBorders>
              <w:top w:val="nil"/>
              <w:left w:val="nil"/>
              <w:bottom w:val="double" w:sz="6" w:space="2" w:color="auto"/>
              <w:right w:val="nil"/>
            </w:tcBorders>
            <w:vAlign w:val="bottom"/>
          </w:tcPr>
          <w:p w:rsidR="00F73E0A" w:rsidRPr="00A84810" w:rsidRDefault="00F73E0A">
            <w:pPr>
              <w:autoSpaceDE w:val="0"/>
              <w:autoSpaceDN w:val="0"/>
              <w:adjustRightInd w:val="0"/>
              <w:spacing w:after="0" w:line="240" w:lineRule="auto"/>
              <w:jc w:val="center"/>
              <w:rPr>
                <w:rFonts w:ascii="Times New Roman" w:hAnsi="Times New Roman" w:cs="Times New Roman"/>
                <w:color w:val="000000"/>
              </w:rPr>
            </w:pPr>
          </w:p>
        </w:tc>
        <w:tc>
          <w:tcPr>
            <w:tcW w:w="1701" w:type="dxa"/>
            <w:tcBorders>
              <w:top w:val="nil"/>
              <w:left w:val="nil"/>
              <w:bottom w:val="double" w:sz="6" w:space="2" w:color="auto"/>
              <w:right w:val="nil"/>
            </w:tcBorders>
            <w:vAlign w:val="bottom"/>
          </w:tcPr>
          <w:p w:rsidR="00F73E0A" w:rsidRPr="00A84810" w:rsidRDefault="00F73E0A">
            <w:pPr>
              <w:autoSpaceDE w:val="0"/>
              <w:autoSpaceDN w:val="0"/>
              <w:adjustRightInd w:val="0"/>
              <w:spacing w:after="0" w:line="240" w:lineRule="auto"/>
              <w:jc w:val="center"/>
              <w:rPr>
                <w:rFonts w:ascii="Times New Roman" w:hAnsi="Times New Roman" w:cs="Times New Roman"/>
                <w:color w:val="000000"/>
              </w:rPr>
            </w:pPr>
          </w:p>
        </w:tc>
        <w:tc>
          <w:tcPr>
            <w:tcW w:w="1275" w:type="dxa"/>
            <w:tcBorders>
              <w:top w:val="nil"/>
              <w:left w:val="nil"/>
              <w:bottom w:val="double" w:sz="6" w:space="2" w:color="auto"/>
              <w:right w:val="nil"/>
            </w:tcBorders>
            <w:vAlign w:val="bottom"/>
          </w:tcPr>
          <w:p w:rsidR="00F73E0A" w:rsidRPr="00A84810" w:rsidRDefault="00F73E0A">
            <w:pPr>
              <w:autoSpaceDE w:val="0"/>
              <w:autoSpaceDN w:val="0"/>
              <w:adjustRightInd w:val="0"/>
              <w:spacing w:after="0" w:line="240" w:lineRule="auto"/>
              <w:jc w:val="center"/>
              <w:rPr>
                <w:rFonts w:ascii="Times New Roman" w:hAnsi="Times New Roman" w:cs="Times New Roman"/>
                <w:color w:val="000000"/>
              </w:rPr>
            </w:pPr>
          </w:p>
        </w:tc>
      </w:tr>
      <w:tr w:rsidR="00F73E0A" w:rsidRPr="00435D3C" w:rsidTr="005819C3">
        <w:trPr>
          <w:trHeight w:val="57"/>
        </w:trPr>
        <w:tc>
          <w:tcPr>
            <w:tcW w:w="5499"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rPr>
                <w:rFonts w:ascii="Times New Roman" w:hAnsi="Times New Roman" w:cs="Times New Roman"/>
                <w:color w:val="000000"/>
              </w:rPr>
            </w:pPr>
            <w:proofErr w:type="spellStart"/>
            <w:r w:rsidRPr="00435D3C">
              <w:rPr>
                <w:rFonts w:ascii="Times New Roman" w:hAnsi="Times New Roman" w:cs="Times New Roman"/>
                <w:color w:val="000000"/>
              </w:rPr>
              <w:t>Null</w:t>
            </w:r>
            <w:proofErr w:type="spellEnd"/>
            <w:r w:rsidRPr="00435D3C">
              <w:rPr>
                <w:rFonts w:ascii="Times New Roman" w:hAnsi="Times New Roman" w:cs="Times New Roman"/>
                <w:color w:val="000000"/>
              </w:rPr>
              <w:t xml:space="preserve"> </w:t>
            </w:r>
            <w:proofErr w:type="spellStart"/>
            <w:r w:rsidRPr="00435D3C">
              <w:rPr>
                <w:rFonts w:ascii="Times New Roman" w:hAnsi="Times New Roman" w:cs="Times New Roman"/>
                <w:color w:val="000000"/>
              </w:rPr>
              <w:t>Hypothesis</w:t>
            </w:r>
            <w:proofErr w:type="spellEnd"/>
            <w:r w:rsidRPr="00435D3C">
              <w:rPr>
                <w:rFonts w:ascii="Times New Roman" w:hAnsi="Times New Roman" w:cs="Times New Roman"/>
                <w:color w:val="000000"/>
              </w:rPr>
              <w:t>:</w:t>
            </w:r>
          </w:p>
        </w:tc>
        <w:tc>
          <w:tcPr>
            <w:tcW w:w="567"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proofErr w:type="spellStart"/>
            <w:r w:rsidRPr="00435D3C">
              <w:rPr>
                <w:rFonts w:ascii="Times New Roman" w:hAnsi="Times New Roman" w:cs="Times New Roman"/>
                <w:color w:val="000000"/>
              </w:rPr>
              <w:t>Obs</w:t>
            </w:r>
            <w:proofErr w:type="spellEnd"/>
          </w:p>
        </w:tc>
        <w:tc>
          <w:tcPr>
            <w:tcW w:w="1701"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F-</w:t>
            </w:r>
            <w:proofErr w:type="spellStart"/>
            <w:r w:rsidRPr="00435D3C">
              <w:rPr>
                <w:rFonts w:ascii="Times New Roman" w:hAnsi="Times New Roman" w:cs="Times New Roman"/>
                <w:color w:val="000000"/>
              </w:rPr>
              <w:t>Statistic</w:t>
            </w:r>
            <w:proofErr w:type="spellEnd"/>
          </w:p>
        </w:tc>
        <w:tc>
          <w:tcPr>
            <w:tcW w:w="1275"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proofErr w:type="spellStart"/>
            <w:r w:rsidRPr="00435D3C">
              <w:rPr>
                <w:rFonts w:ascii="Times New Roman" w:hAnsi="Times New Roman" w:cs="Times New Roman"/>
                <w:color w:val="000000"/>
              </w:rPr>
              <w:t>Probability</w:t>
            </w:r>
            <w:proofErr w:type="spellEnd"/>
          </w:p>
        </w:tc>
      </w:tr>
      <w:tr w:rsidR="00F73E0A" w:rsidRPr="00435D3C" w:rsidTr="005819C3">
        <w:trPr>
          <w:trHeight w:val="57"/>
        </w:trPr>
        <w:tc>
          <w:tcPr>
            <w:tcW w:w="5499" w:type="dxa"/>
            <w:tcBorders>
              <w:top w:val="double" w:sz="6" w:space="0" w:color="auto"/>
              <w:left w:val="nil"/>
              <w:bottom w:val="nil"/>
              <w:right w:val="nil"/>
            </w:tcBorders>
            <w:vAlign w:val="bottom"/>
          </w:tcPr>
          <w:p w:rsidR="00F73E0A" w:rsidRPr="00435D3C" w:rsidRDefault="00F73E0A" w:rsidP="00FD1090">
            <w:pPr>
              <w:autoSpaceDE w:val="0"/>
              <w:autoSpaceDN w:val="0"/>
              <w:adjustRightInd w:val="0"/>
              <w:spacing w:after="0" w:line="240" w:lineRule="auto"/>
              <w:rPr>
                <w:rFonts w:ascii="Times New Roman" w:hAnsi="Times New Roman" w:cs="Times New Roman"/>
                <w:color w:val="000000"/>
                <w:lang w:val="en-US"/>
              </w:rPr>
            </w:pPr>
            <w:proofErr w:type="spellStart"/>
            <w:r w:rsidRPr="002C6A9C">
              <w:rPr>
                <w:rFonts w:ascii="Times New Roman" w:hAnsi="Times New Roman" w:cs="Times New Roman"/>
                <w:color w:val="000000"/>
                <w:lang w:val="en-US"/>
              </w:rPr>
              <w:t>C</w:t>
            </w:r>
            <w:r w:rsidR="00FD1090" w:rsidRPr="002C6A9C">
              <w:rPr>
                <w:rFonts w:ascii="Times New Roman" w:hAnsi="Times New Roman" w:cs="Times New Roman"/>
                <w:color w:val="000000"/>
                <w:lang w:val="en-US"/>
              </w:rPr>
              <w:t>ost_to</w:t>
            </w:r>
            <w:r w:rsidRPr="002C6A9C">
              <w:rPr>
                <w:rFonts w:ascii="Times New Roman" w:hAnsi="Times New Roman" w:cs="Times New Roman"/>
                <w:color w:val="000000"/>
                <w:lang w:val="en-US"/>
              </w:rPr>
              <w:t>_M</w:t>
            </w:r>
            <w:proofErr w:type="spellEnd"/>
            <w:r w:rsidRPr="00435D3C">
              <w:rPr>
                <w:rFonts w:ascii="Times New Roman" w:hAnsi="Times New Roman" w:cs="Times New Roman"/>
                <w:color w:val="000000"/>
                <w:lang w:val="en-US"/>
              </w:rPr>
              <w:t xml:space="preserve"> does not Granger Cause </w:t>
            </w:r>
            <w:proofErr w:type="spellStart"/>
            <w:r w:rsidRPr="00435D3C">
              <w:rPr>
                <w:rFonts w:ascii="Times New Roman" w:hAnsi="Times New Roman" w:cs="Times New Roman"/>
                <w:color w:val="000000"/>
                <w:lang w:val="en-US"/>
              </w:rPr>
              <w:t>A</w:t>
            </w:r>
            <w:r w:rsidR="00FD1090">
              <w:rPr>
                <w:rFonts w:ascii="Times New Roman" w:hAnsi="Times New Roman" w:cs="Times New Roman"/>
                <w:color w:val="000000"/>
                <w:lang w:val="en-US"/>
              </w:rPr>
              <w:t>fT</w:t>
            </w:r>
            <w:r w:rsidRPr="00435D3C">
              <w:rPr>
                <w:rFonts w:ascii="Times New Roman" w:hAnsi="Times New Roman" w:cs="Times New Roman"/>
                <w:color w:val="000000"/>
                <w:lang w:val="en-US"/>
              </w:rPr>
              <w:t>_MCA</w:t>
            </w:r>
            <w:proofErr w:type="spellEnd"/>
          </w:p>
        </w:tc>
        <w:tc>
          <w:tcPr>
            <w:tcW w:w="567"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27</w:t>
            </w:r>
          </w:p>
        </w:tc>
        <w:tc>
          <w:tcPr>
            <w:tcW w:w="1701"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7.58615</w:t>
            </w:r>
          </w:p>
        </w:tc>
        <w:tc>
          <w:tcPr>
            <w:tcW w:w="1275"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0.00312</w:t>
            </w:r>
          </w:p>
        </w:tc>
      </w:tr>
      <w:tr w:rsidR="00F73E0A" w:rsidRPr="00435D3C" w:rsidTr="005819C3">
        <w:trPr>
          <w:trHeight w:val="57"/>
        </w:trPr>
        <w:tc>
          <w:tcPr>
            <w:tcW w:w="6066" w:type="dxa"/>
            <w:gridSpan w:val="2"/>
            <w:tcBorders>
              <w:top w:val="nil"/>
              <w:left w:val="nil"/>
              <w:bottom w:val="double" w:sz="6" w:space="0" w:color="auto"/>
              <w:right w:val="nil"/>
            </w:tcBorders>
            <w:vAlign w:val="bottom"/>
          </w:tcPr>
          <w:p w:rsidR="00F73E0A" w:rsidRPr="00435D3C" w:rsidRDefault="00FD1090" w:rsidP="00FD1090">
            <w:pPr>
              <w:autoSpaceDE w:val="0"/>
              <w:autoSpaceDN w:val="0"/>
              <w:adjustRightInd w:val="0"/>
              <w:spacing w:after="0" w:line="240" w:lineRule="auto"/>
              <w:rPr>
                <w:rFonts w:ascii="Times New Roman" w:hAnsi="Times New Roman" w:cs="Times New Roman"/>
                <w:color w:val="000000"/>
                <w:lang w:val="en-US"/>
              </w:rPr>
            </w:pPr>
            <w:proofErr w:type="spellStart"/>
            <w:r>
              <w:rPr>
                <w:rFonts w:ascii="Times New Roman" w:hAnsi="Times New Roman" w:cs="Times New Roman"/>
                <w:color w:val="000000"/>
                <w:lang w:val="en-US"/>
              </w:rPr>
              <w:t>Af</w:t>
            </w:r>
            <w:r w:rsidR="00F73E0A" w:rsidRPr="00435D3C">
              <w:rPr>
                <w:rFonts w:ascii="Times New Roman" w:hAnsi="Times New Roman" w:cs="Times New Roman"/>
                <w:color w:val="000000"/>
                <w:lang w:val="en-US"/>
              </w:rPr>
              <w:t>T_MCA</w:t>
            </w:r>
            <w:proofErr w:type="spellEnd"/>
            <w:r w:rsidR="00F73E0A" w:rsidRPr="00435D3C">
              <w:rPr>
                <w:rFonts w:ascii="Times New Roman" w:hAnsi="Times New Roman" w:cs="Times New Roman"/>
                <w:color w:val="000000"/>
                <w:lang w:val="en-US"/>
              </w:rPr>
              <w:t xml:space="preserve"> does not Granger Cause </w:t>
            </w:r>
            <w:proofErr w:type="spellStart"/>
            <w:r w:rsidR="00F73E0A" w:rsidRPr="00435D3C">
              <w:rPr>
                <w:rFonts w:ascii="Times New Roman" w:hAnsi="Times New Roman" w:cs="Times New Roman"/>
                <w:color w:val="000000"/>
                <w:lang w:val="en-US"/>
              </w:rPr>
              <w:t>C</w:t>
            </w:r>
            <w:r>
              <w:rPr>
                <w:rFonts w:ascii="Times New Roman" w:hAnsi="Times New Roman" w:cs="Times New Roman"/>
                <w:color w:val="000000"/>
                <w:lang w:val="en-US"/>
              </w:rPr>
              <w:t>ost</w:t>
            </w:r>
            <w:r w:rsidR="00F73E0A" w:rsidRPr="00435D3C">
              <w:rPr>
                <w:rFonts w:ascii="Times New Roman" w:hAnsi="Times New Roman" w:cs="Times New Roman"/>
                <w:color w:val="000000"/>
                <w:lang w:val="en-US"/>
              </w:rPr>
              <w:t>_</w:t>
            </w:r>
            <w:r>
              <w:rPr>
                <w:rFonts w:ascii="Times New Roman" w:hAnsi="Times New Roman" w:cs="Times New Roman"/>
                <w:color w:val="000000"/>
                <w:lang w:val="en-US"/>
              </w:rPr>
              <w:t>to</w:t>
            </w:r>
            <w:r w:rsidR="00F73E0A" w:rsidRPr="00435D3C">
              <w:rPr>
                <w:rFonts w:ascii="Times New Roman" w:hAnsi="Times New Roman" w:cs="Times New Roman"/>
                <w:color w:val="000000"/>
                <w:lang w:val="en-US"/>
              </w:rPr>
              <w:t>_M</w:t>
            </w:r>
            <w:proofErr w:type="spellEnd"/>
          </w:p>
        </w:tc>
        <w:tc>
          <w:tcPr>
            <w:tcW w:w="1701"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lang w:val="en-US"/>
              </w:rPr>
              <w:t> </w:t>
            </w:r>
            <w:r w:rsidRPr="00435D3C">
              <w:rPr>
                <w:rFonts w:ascii="Times New Roman" w:hAnsi="Times New Roman" w:cs="Times New Roman"/>
                <w:color w:val="000000"/>
              </w:rPr>
              <w:t>2.90376</w:t>
            </w:r>
          </w:p>
        </w:tc>
        <w:tc>
          <w:tcPr>
            <w:tcW w:w="1275" w:type="dxa"/>
            <w:tcBorders>
              <w:top w:val="nil"/>
              <w:left w:val="nil"/>
              <w:bottom w:val="double" w:sz="6" w:space="0" w:color="auto"/>
              <w:right w:val="nil"/>
            </w:tcBorders>
            <w:vAlign w:val="bottom"/>
          </w:tcPr>
          <w:p w:rsidR="00F73E0A" w:rsidRPr="00435D3C" w:rsidRDefault="00F73E0A" w:rsidP="0089255D">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0.0</w:t>
            </w:r>
            <w:r w:rsidR="0089255D">
              <w:rPr>
                <w:rFonts w:ascii="Times New Roman" w:hAnsi="Times New Roman" w:cs="Times New Roman"/>
                <w:color w:val="000000"/>
              </w:rPr>
              <w:t>4</w:t>
            </w:r>
            <w:r w:rsidRPr="00435D3C">
              <w:rPr>
                <w:rFonts w:ascii="Times New Roman" w:hAnsi="Times New Roman" w:cs="Times New Roman"/>
                <w:color w:val="000000"/>
              </w:rPr>
              <w:t>601</w:t>
            </w:r>
          </w:p>
        </w:tc>
      </w:tr>
      <w:tr w:rsidR="00F73E0A" w:rsidRPr="00435D3C" w:rsidTr="005819C3">
        <w:trPr>
          <w:trHeight w:val="57"/>
        </w:trPr>
        <w:tc>
          <w:tcPr>
            <w:tcW w:w="5499" w:type="dxa"/>
            <w:tcBorders>
              <w:top w:val="double" w:sz="6" w:space="0" w:color="auto"/>
              <w:left w:val="nil"/>
              <w:bottom w:val="nil"/>
              <w:right w:val="nil"/>
            </w:tcBorders>
            <w:vAlign w:val="bottom"/>
          </w:tcPr>
          <w:p w:rsidR="00F73E0A" w:rsidRPr="00435D3C" w:rsidRDefault="00F73E0A" w:rsidP="00BF07E2">
            <w:pPr>
              <w:autoSpaceDE w:val="0"/>
              <w:autoSpaceDN w:val="0"/>
              <w:adjustRightInd w:val="0"/>
              <w:spacing w:after="0" w:line="240" w:lineRule="auto"/>
              <w:rPr>
                <w:rFonts w:ascii="Times New Roman" w:hAnsi="Times New Roman" w:cs="Times New Roman"/>
                <w:color w:val="000000"/>
                <w:lang w:val="en-US"/>
              </w:rPr>
            </w:pPr>
            <w:proofErr w:type="spellStart"/>
            <w:r w:rsidRPr="00435D3C">
              <w:rPr>
                <w:rFonts w:ascii="Times New Roman" w:hAnsi="Times New Roman" w:cs="Times New Roman"/>
                <w:color w:val="000000"/>
                <w:lang w:val="en-US"/>
              </w:rPr>
              <w:t>T</w:t>
            </w:r>
            <w:r w:rsidR="00BF07E2">
              <w:rPr>
                <w:rFonts w:ascii="Times New Roman" w:hAnsi="Times New Roman" w:cs="Times New Roman"/>
                <w:color w:val="000000"/>
                <w:lang w:val="en-US"/>
              </w:rPr>
              <w:t>ime</w:t>
            </w:r>
            <w:r w:rsidRPr="00435D3C">
              <w:rPr>
                <w:rFonts w:ascii="Times New Roman" w:hAnsi="Times New Roman" w:cs="Times New Roman"/>
                <w:color w:val="000000"/>
                <w:lang w:val="en-US"/>
              </w:rPr>
              <w:t>_</w:t>
            </w:r>
            <w:r w:rsidR="00BF07E2">
              <w:rPr>
                <w:rFonts w:ascii="Times New Roman" w:hAnsi="Times New Roman" w:cs="Times New Roman"/>
                <w:color w:val="000000"/>
                <w:lang w:val="en-US"/>
              </w:rPr>
              <w:t>to</w:t>
            </w:r>
            <w:r w:rsidRPr="00435D3C">
              <w:rPr>
                <w:rFonts w:ascii="Times New Roman" w:hAnsi="Times New Roman" w:cs="Times New Roman"/>
                <w:color w:val="000000"/>
                <w:lang w:val="en-US"/>
              </w:rPr>
              <w:t>_M</w:t>
            </w:r>
            <w:proofErr w:type="spellEnd"/>
            <w:r w:rsidRPr="00435D3C">
              <w:rPr>
                <w:rFonts w:ascii="Times New Roman" w:hAnsi="Times New Roman" w:cs="Times New Roman"/>
                <w:color w:val="000000"/>
                <w:lang w:val="en-US"/>
              </w:rPr>
              <w:t xml:space="preserve"> does not Granger Cause </w:t>
            </w:r>
            <w:proofErr w:type="spellStart"/>
            <w:r w:rsidRPr="00435D3C">
              <w:rPr>
                <w:rFonts w:ascii="Times New Roman" w:hAnsi="Times New Roman" w:cs="Times New Roman"/>
                <w:color w:val="000000"/>
                <w:lang w:val="en-US"/>
              </w:rPr>
              <w:t>A</w:t>
            </w:r>
            <w:r w:rsidR="00BF07E2">
              <w:rPr>
                <w:rFonts w:ascii="Times New Roman" w:hAnsi="Times New Roman" w:cs="Times New Roman"/>
                <w:color w:val="000000"/>
                <w:lang w:val="en-US"/>
              </w:rPr>
              <w:t>f</w:t>
            </w:r>
            <w:r w:rsidRPr="00435D3C">
              <w:rPr>
                <w:rFonts w:ascii="Times New Roman" w:hAnsi="Times New Roman" w:cs="Times New Roman"/>
                <w:color w:val="000000"/>
                <w:lang w:val="en-US"/>
              </w:rPr>
              <w:t>T_MCA</w:t>
            </w:r>
            <w:proofErr w:type="spellEnd"/>
          </w:p>
        </w:tc>
        <w:tc>
          <w:tcPr>
            <w:tcW w:w="567"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27</w:t>
            </w:r>
          </w:p>
        </w:tc>
        <w:tc>
          <w:tcPr>
            <w:tcW w:w="1701"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36.4079</w:t>
            </w:r>
          </w:p>
        </w:tc>
        <w:tc>
          <w:tcPr>
            <w:tcW w:w="1275"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1.0E-07</w:t>
            </w:r>
          </w:p>
        </w:tc>
      </w:tr>
      <w:tr w:rsidR="00F73E0A" w:rsidRPr="00435D3C" w:rsidTr="005819C3">
        <w:trPr>
          <w:trHeight w:val="57"/>
        </w:trPr>
        <w:tc>
          <w:tcPr>
            <w:tcW w:w="6066" w:type="dxa"/>
            <w:gridSpan w:val="2"/>
            <w:tcBorders>
              <w:top w:val="nil"/>
              <w:left w:val="nil"/>
              <w:bottom w:val="double" w:sz="6" w:space="0" w:color="auto"/>
              <w:right w:val="nil"/>
            </w:tcBorders>
            <w:vAlign w:val="bottom"/>
          </w:tcPr>
          <w:p w:rsidR="00F73E0A" w:rsidRPr="00435D3C" w:rsidRDefault="00F73E0A" w:rsidP="00BF07E2">
            <w:pPr>
              <w:autoSpaceDE w:val="0"/>
              <w:autoSpaceDN w:val="0"/>
              <w:adjustRightInd w:val="0"/>
              <w:spacing w:after="0" w:line="240" w:lineRule="auto"/>
              <w:rPr>
                <w:rFonts w:ascii="Times New Roman" w:hAnsi="Times New Roman" w:cs="Times New Roman"/>
                <w:color w:val="000000"/>
                <w:lang w:val="en-US"/>
              </w:rPr>
            </w:pPr>
            <w:proofErr w:type="spellStart"/>
            <w:r w:rsidRPr="00435D3C">
              <w:rPr>
                <w:rFonts w:ascii="Times New Roman" w:hAnsi="Times New Roman" w:cs="Times New Roman"/>
                <w:color w:val="000000"/>
                <w:lang w:val="en-US"/>
              </w:rPr>
              <w:t>A</w:t>
            </w:r>
            <w:r w:rsidR="00BF07E2">
              <w:rPr>
                <w:rFonts w:ascii="Times New Roman" w:hAnsi="Times New Roman" w:cs="Times New Roman"/>
                <w:color w:val="000000"/>
                <w:lang w:val="en-US"/>
              </w:rPr>
              <w:t>f</w:t>
            </w:r>
            <w:r w:rsidRPr="00435D3C">
              <w:rPr>
                <w:rFonts w:ascii="Times New Roman" w:hAnsi="Times New Roman" w:cs="Times New Roman"/>
                <w:color w:val="000000"/>
                <w:lang w:val="en-US"/>
              </w:rPr>
              <w:t>T</w:t>
            </w:r>
            <w:r w:rsidR="00BF07E2">
              <w:rPr>
                <w:rFonts w:ascii="Times New Roman" w:hAnsi="Times New Roman" w:cs="Times New Roman"/>
                <w:color w:val="000000"/>
                <w:lang w:val="en-US"/>
              </w:rPr>
              <w:t>_MCA</w:t>
            </w:r>
            <w:proofErr w:type="spellEnd"/>
            <w:r w:rsidR="00BF07E2">
              <w:rPr>
                <w:rFonts w:ascii="Times New Roman" w:hAnsi="Times New Roman" w:cs="Times New Roman"/>
                <w:color w:val="000000"/>
                <w:lang w:val="en-US"/>
              </w:rPr>
              <w:t xml:space="preserve"> does not Granger Cause </w:t>
            </w:r>
            <w:proofErr w:type="spellStart"/>
            <w:r w:rsidR="00BF07E2">
              <w:rPr>
                <w:rFonts w:ascii="Times New Roman" w:hAnsi="Times New Roman" w:cs="Times New Roman"/>
                <w:color w:val="000000"/>
                <w:lang w:val="en-US"/>
              </w:rPr>
              <w:t>Time_to</w:t>
            </w:r>
            <w:r w:rsidRPr="00435D3C">
              <w:rPr>
                <w:rFonts w:ascii="Times New Roman" w:hAnsi="Times New Roman" w:cs="Times New Roman"/>
                <w:color w:val="000000"/>
                <w:lang w:val="en-US"/>
              </w:rPr>
              <w:t>_M</w:t>
            </w:r>
            <w:proofErr w:type="spellEnd"/>
          </w:p>
        </w:tc>
        <w:tc>
          <w:tcPr>
            <w:tcW w:w="1701"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lang w:val="en-US"/>
              </w:rPr>
              <w:t> </w:t>
            </w:r>
            <w:r w:rsidRPr="00435D3C">
              <w:rPr>
                <w:rFonts w:ascii="Times New Roman" w:hAnsi="Times New Roman" w:cs="Times New Roman"/>
                <w:color w:val="000000"/>
              </w:rPr>
              <w:t>3.21118</w:t>
            </w:r>
          </w:p>
        </w:tc>
        <w:tc>
          <w:tcPr>
            <w:tcW w:w="1275"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0.05976</w:t>
            </w:r>
          </w:p>
        </w:tc>
      </w:tr>
      <w:tr w:rsidR="00F73E0A" w:rsidRPr="00435D3C" w:rsidTr="005819C3">
        <w:trPr>
          <w:trHeight w:val="57"/>
        </w:trPr>
        <w:tc>
          <w:tcPr>
            <w:tcW w:w="5499" w:type="dxa"/>
            <w:tcBorders>
              <w:top w:val="double" w:sz="6" w:space="0" w:color="auto"/>
              <w:left w:val="nil"/>
              <w:bottom w:val="nil"/>
              <w:right w:val="nil"/>
            </w:tcBorders>
            <w:vAlign w:val="bottom"/>
          </w:tcPr>
          <w:p w:rsidR="00F73E0A" w:rsidRPr="00435D3C" w:rsidRDefault="00F73E0A" w:rsidP="00BF07E2">
            <w:pPr>
              <w:autoSpaceDE w:val="0"/>
              <w:autoSpaceDN w:val="0"/>
              <w:adjustRightInd w:val="0"/>
              <w:spacing w:after="0" w:line="240" w:lineRule="auto"/>
              <w:rPr>
                <w:rFonts w:ascii="Times New Roman" w:hAnsi="Times New Roman" w:cs="Times New Roman"/>
                <w:color w:val="000000"/>
                <w:lang w:val="en-US"/>
              </w:rPr>
            </w:pPr>
            <w:r w:rsidRPr="00435D3C">
              <w:rPr>
                <w:rFonts w:ascii="Times New Roman" w:hAnsi="Times New Roman" w:cs="Times New Roman"/>
                <w:color w:val="000000"/>
                <w:lang w:val="en-US"/>
              </w:rPr>
              <w:t xml:space="preserve">M does not Granger Cause </w:t>
            </w:r>
            <w:proofErr w:type="spellStart"/>
            <w:r w:rsidRPr="00435D3C">
              <w:rPr>
                <w:rFonts w:ascii="Times New Roman" w:hAnsi="Times New Roman" w:cs="Times New Roman"/>
                <w:color w:val="000000"/>
                <w:lang w:val="en-US"/>
              </w:rPr>
              <w:t>A</w:t>
            </w:r>
            <w:r w:rsidR="00BF07E2">
              <w:rPr>
                <w:rFonts w:ascii="Times New Roman" w:hAnsi="Times New Roman" w:cs="Times New Roman"/>
                <w:color w:val="000000"/>
                <w:lang w:val="en-US"/>
              </w:rPr>
              <w:t>f</w:t>
            </w:r>
            <w:r w:rsidRPr="00435D3C">
              <w:rPr>
                <w:rFonts w:ascii="Times New Roman" w:hAnsi="Times New Roman" w:cs="Times New Roman"/>
                <w:color w:val="000000"/>
                <w:lang w:val="en-US"/>
              </w:rPr>
              <w:t>T_MCA</w:t>
            </w:r>
            <w:proofErr w:type="spellEnd"/>
          </w:p>
        </w:tc>
        <w:tc>
          <w:tcPr>
            <w:tcW w:w="567"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27</w:t>
            </w:r>
          </w:p>
        </w:tc>
        <w:tc>
          <w:tcPr>
            <w:tcW w:w="1701"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0.72432</w:t>
            </w:r>
          </w:p>
        </w:tc>
        <w:tc>
          <w:tcPr>
            <w:tcW w:w="1275"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0.49586</w:t>
            </w:r>
          </w:p>
        </w:tc>
      </w:tr>
      <w:tr w:rsidR="00F73E0A" w:rsidRPr="00435D3C" w:rsidTr="005819C3">
        <w:trPr>
          <w:trHeight w:val="57"/>
        </w:trPr>
        <w:tc>
          <w:tcPr>
            <w:tcW w:w="6066" w:type="dxa"/>
            <w:gridSpan w:val="2"/>
            <w:tcBorders>
              <w:top w:val="nil"/>
              <w:left w:val="nil"/>
              <w:bottom w:val="double" w:sz="6" w:space="0" w:color="auto"/>
              <w:right w:val="nil"/>
            </w:tcBorders>
            <w:vAlign w:val="bottom"/>
          </w:tcPr>
          <w:p w:rsidR="00F73E0A" w:rsidRPr="00435D3C" w:rsidRDefault="00F73E0A" w:rsidP="00BF07E2">
            <w:pPr>
              <w:autoSpaceDE w:val="0"/>
              <w:autoSpaceDN w:val="0"/>
              <w:adjustRightInd w:val="0"/>
              <w:spacing w:after="0" w:line="240" w:lineRule="auto"/>
              <w:rPr>
                <w:rFonts w:ascii="Times New Roman" w:hAnsi="Times New Roman" w:cs="Times New Roman"/>
                <w:color w:val="000000"/>
                <w:lang w:val="en-US"/>
              </w:rPr>
            </w:pPr>
            <w:proofErr w:type="spellStart"/>
            <w:r w:rsidRPr="00435D3C">
              <w:rPr>
                <w:rFonts w:ascii="Times New Roman" w:hAnsi="Times New Roman" w:cs="Times New Roman"/>
                <w:color w:val="000000"/>
                <w:lang w:val="en-US"/>
              </w:rPr>
              <w:t>A</w:t>
            </w:r>
            <w:r w:rsidR="00BF07E2">
              <w:rPr>
                <w:rFonts w:ascii="Times New Roman" w:hAnsi="Times New Roman" w:cs="Times New Roman"/>
                <w:color w:val="000000"/>
                <w:lang w:val="en-US"/>
              </w:rPr>
              <w:t>f</w:t>
            </w:r>
            <w:r w:rsidRPr="00435D3C">
              <w:rPr>
                <w:rFonts w:ascii="Times New Roman" w:hAnsi="Times New Roman" w:cs="Times New Roman"/>
                <w:color w:val="000000"/>
                <w:lang w:val="en-US"/>
              </w:rPr>
              <w:t>T_MCA</w:t>
            </w:r>
            <w:proofErr w:type="spellEnd"/>
            <w:r w:rsidRPr="00435D3C">
              <w:rPr>
                <w:rFonts w:ascii="Times New Roman" w:hAnsi="Times New Roman" w:cs="Times New Roman"/>
                <w:color w:val="000000"/>
                <w:lang w:val="en-US"/>
              </w:rPr>
              <w:t xml:space="preserve"> does not Granger Cause M</w:t>
            </w:r>
          </w:p>
        </w:tc>
        <w:tc>
          <w:tcPr>
            <w:tcW w:w="1701"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lang w:val="en-US"/>
              </w:rPr>
              <w:t> </w:t>
            </w:r>
            <w:r w:rsidRPr="00435D3C">
              <w:rPr>
                <w:rFonts w:ascii="Times New Roman" w:hAnsi="Times New Roman" w:cs="Times New Roman"/>
                <w:color w:val="000000"/>
              </w:rPr>
              <w:t>19.5787</w:t>
            </w:r>
          </w:p>
        </w:tc>
        <w:tc>
          <w:tcPr>
            <w:tcW w:w="1275"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1.3E-05</w:t>
            </w:r>
          </w:p>
        </w:tc>
      </w:tr>
      <w:tr w:rsidR="00F73E0A" w:rsidRPr="00435D3C" w:rsidTr="005819C3">
        <w:trPr>
          <w:trHeight w:val="57"/>
        </w:trPr>
        <w:tc>
          <w:tcPr>
            <w:tcW w:w="5499" w:type="dxa"/>
            <w:tcBorders>
              <w:top w:val="double" w:sz="6" w:space="0" w:color="auto"/>
              <w:left w:val="nil"/>
              <w:bottom w:val="nil"/>
              <w:right w:val="nil"/>
            </w:tcBorders>
            <w:vAlign w:val="bottom"/>
          </w:tcPr>
          <w:p w:rsidR="00F73E0A" w:rsidRPr="00435D3C" w:rsidRDefault="00F73E0A" w:rsidP="00BF07E2">
            <w:pPr>
              <w:autoSpaceDE w:val="0"/>
              <w:autoSpaceDN w:val="0"/>
              <w:adjustRightInd w:val="0"/>
              <w:spacing w:after="0" w:line="240" w:lineRule="auto"/>
              <w:rPr>
                <w:rFonts w:ascii="Times New Roman" w:hAnsi="Times New Roman" w:cs="Times New Roman"/>
                <w:color w:val="000000"/>
                <w:lang w:val="en-US"/>
              </w:rPr>
            </w:pPr>
            <w:proofErr w:type="spellStart"/>
            <w:r w:rsidRPr="00435D3C">
              <w:rPr>
                <w:rFonts w:ascii="Times New Roman" w:hAnsi="Times New Roman" w:cs="Times New Roman"/>
                <w:color w:val="000000"/>
                <w:lang w:val="en-US"/>
              </w:rPr>
              <w:t>T</w:t>
            </w:r>
            <w:r w:rsidR="00BF07E2">
              <w:rPr>
                <w:rFonts w:ascii="Times New Roman" w:hAnsi="Times New Roman" w:cs="Times New Roman"/>
                <w:color w:val="000000"/>
                <w:lang w:val="en-US"/>
              </w:rPr>
              <w:t>ime</w:t>
            </w:r>
            <w:r w:rsidRPr="00435D3C">
              <w:rPr>
                <w:rFonts w:ascii="Times New Roman" w:hAnsi="Times New Roman" w:cs="Times New Roman"/>
                <w:color w:val="000000"/>
                <w:lang w:val="en-US"/>
              </w:rPr>
              <w:t>_</w:t>
            </w:r>
            <w:r w:rsidR="00BF07E2">
              <w:rPr>
                <w:rFonts w:ascii="Times New Roman" w:hAnsi="Times New Roman" w:cs="Times New Roman"/>
                <w:color w:val="000000"/>
                <w:lang w:val="en-US"/>
              </w:rPr>
              <w:t>to</w:t>
            </w:r>
            <w:r w:rsidRPr="00435D3C">
              <w:rPr>
                <w:rFonts w:ascii="Times New Roman" w:hAnsi="Times New Roman" w:cs="Times New Roman"/>
                <w:color w:val="000000"/>
                <w:lang w:val="en-US"/>
              </w:rPr>
              <w:t>_M</w:t>
            </w:r>
            <w:proofErr w:type="spellEnd"/>
            <w:r w:rsidRPr="00435D3C">
              <w:rPr>
                <w:rFonts w:ascii="Times New Roman" w:hAnsi="Times New Roman" w:cs="Times New Roman"/>
                <w:color w:val="000000"/>
                <w:lang w:val="en-US"/>
              </w:rPr>
              <w:t xml:space="preserve"> does not Granger Cause </w:t>
            </w:r>
            <w:proofErr w:type="spellStart"/>
            <w:r w:rsidRPr="00435D3C">
              <w:rPr>
                <w:rFonts w:ascii="Times New Roman" w:hAnsi="Times New Roman" w:cs="Times New Roman"/>
                <w:color w:val="000000"/>
                <w:lang w:val="en-US"/>
              </w:rPr>
              <w:t>C</w:t>
            </w:r>
            <w:r w:rsidR="00BF07E2">
              <w:rPr>
                <w:rFonts w:ascii="Times New Roman" w:hAnsi="Times New Roman" w:cs="Times New Roman"/>
                <w:color w:val="000000"/>
                <w:lang w:val="en-US"/>
              </w:rPr>
              <w:t>ost_to</w:t>
            </w:r>
            <w:r w:rsidRPr="00435D3C">
              <w:rPr>
                <w:rFonts w:ascii="Times New Roman" w:hAnsi="Times New Roman" w:cs="Times New Roman"/>
                <w:color w:val="000000"/>
                <w:lang w:val="en-US"/>
              </w:rPr>
              <w:t>_M</w:t>
            </w:r>
            <w:proofErr w:type="spellEnd"/>
          </w:p>
        </w:tc>
        <w:tc>
          <w:tcPr>
            <w:tcW w:w="567"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27</w:t>
            </w:r>
          </w:p>
        </w:tc>
        <w:tc>
          <w:tcPr>
            <w:tcW w:w="1701"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3.98236</w:t>
            </w:r>
          </w:p>
        </w:tc>
        <w:tc>
          <w:tcPr>
            <w:tcW w:w="1275"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0.03341</w:t>
            </w:r>
          </w:p>
        </w:tc>
      </w:tr>
      <w:tr w:rsidR="00F73E0A" w:rsidRPr="00435D3C" w:rsidTr="005819C3">
        <w:trPr>
          <w:trHeight w:val="57"/>
        </w:trPr>
        <w:tc>
          <w:tcPr>
            <w:tcW w:w="6066" w:type="dxa"/>
            <w:gridSpan w:val="2"/>
            <w:tcBorders>
              <w:top w:val="nil"/>
              <w:left w:val="nil"/>
              <w:bottom w:val="double" w:sz="6" w:space="0" w:color="auto"/>
              <w:right w:val="nil"/>
            </w:tcBorders>
            <w:vAlign w:val="bottom"/>
          </w:tcPr>
          <w:p w:rsidR="00F73E0A" w:rsidRPr="00435D3C" w:rsidRDefault="00F73E0A" w:rsidP="00BF07E2">
            <w:pPr>
              <w:autoSpaceDE w:val="0"/>
              <w:autoSpaceDN w:val="0"/>
              <w:adjustRightInd w:val="0"/>
              <w:spacing w:after="0" w:line="240" w:lineRule="auto"/>
              <w:rPr>
                <w:rFonts w:ascii="Times New Roman" w:hAnsi="Times New Roman" w:cs="Times New Roman"/>
                <w:color w:val="000000"/>
                <w:lang w:val="en-US"/>
              </w:rPr>
            </w:pPr>
            <w:proofErr w:type="spellStart"/>
            <w:r w:rsidRPr="00435D3C">
              <w:rPr>
                <w:rFonts w:ascii="Times New Roman" w:hAnsi="Times New Roman" w:cs="Times New Roman"/>
                <w:color w:val="000000"/>
                <w:lang w:val="en-US"/>
              </w:rPr>
              <w:t>C</w:t>
            </w:r>
            <w:r w:rsidR="00BF07E2">
              <w:rPr>
                <w:rFonts w:ascii="Times New Roman" w:hAnsi="Times New Roman" w:cs="Times New Roman"/>
                <w:color w:val="000000"/>
                <w:lang w:val="en-US"/>
              </w:rPr>
              <w:t>ost</w:t>
            </w:r>
            <w:r w:rsidRPr="00435D3C">
              <w:rPr>
                <w:rFonts w:ascii="Times New Roman" w:hAnsi="Times New Roman" w:cs="Times New Roman"/>
                <w:color w:val="000000"/>
                <w:lang w:val="en-US"/>
              </w:rPr>
              <w:t>_</w:t>
            </w:r>
            <w:r w:rsidR="00BF07E2">
              <w:rPr>
                <w:rFonts w:ascii="Times New Roman" w:hAnsi="Times New Roman" w:cs="Times New Roman"/>
                <w:color w:val="000000"/>
                <w:lang w:val="en-US"/>
              </w:rPr>
              <w:t>to</w:t>
            </w:r>
            <w:r w:rsidRPr="00435D3C">
              <w:rPr>
                <w:rFonts w:ascii="Times New Roman" w:hAnsi="Times New Roman" w:cs="Times New Roman"/>
                <w:color w:val="000000"/>
                <w:lang w:val="en-US"/>
              </w:rPr>
              <w:t>_M</w:t>
            </w:r>
            <w:proofErr w:type="spellEnd"/>
            <w:r w:rsidRPr="00435D3C">
              <w:rPr>
                <w:rFonts w:ascii="Times New Roman" w:hAnsi="Times New Roman" w:cs="Times New Roman"/>
                <w:color w:val="000000"/>
                <w:lang w:val="en-US"/>
              </w:rPr>
              <w:t xml:space="preserve"> does not Granger Cause </w:t>
            </w:r>
            <w:proofErr w:type="spellStart"/>
            <w:r w:rsidRPr="00435D3C">
              <w:rPr>
                <w:rFonts w:ascii="Times New Roman" w:hAnsi="Times New Roman" w:cs="Times New Roman"/>
                <w:color w:val="000000"/>
                <w:lang w:val="en-US"/>
              </w:rPr>
              <w:t>T</w:t>
            </w:r>
            <w:r w:rsidR="00BF07E2">
              <w:rPr>
                <w:rFonts w:ascii="Times New Roman" w:hAnsi="Times New Roman" w:cs="Times New Roman"/>
                <w:color w:val="000000"/>
                <w:lang w:val="en-US"/>
              </w:rPr>
              <w:t>ime</w:t>
            </w:r>
            <w:r w:rsidRPr="00435D3C">
              <w:rPr>
                <w:rFonts w:ascii="Times New Roman" w:hAnsi="Times New Roman" w:cs="Times New Roman"/>
                <w:color w:val="000000"/>
                <w:lang w:val="en-US"/>
              </w:rPr>
              <w:t>_</w:t>
            </w:r>
            <w:r w:rsidR="00BF07E2">
              <w:rPr>
                <w:rFonts w:ascii="Times New Roman" w:hAnsi="Times New Roman" w:cs="Times New Roman"/>
                <w:color w:val="000000"/>
                <w:lang w:val="en-US"/>
              </w:rPr>
              <w:t>to</w:t>
            </w:r>
            <w:r w:rsidRPr="00435D3C">
              <w:rPr>
                <w:rFonts w:ascii="Times New Roman" w:hAnsi="Times New Roman" w:cs="Times New Roman"/>
                <w:color w:val="000000"/>
                <w:lang w:val="en-US"/>
              </w:rPr>
              <w:t>_M</w:t>
            </w:r>
            <w:proofErr w:type="spellEnd"/>
          </w:p>
        </w:tc>
        <w:tc>
          <w:tcPr>
            <w:tcW w:w="1701"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lang w:val="en-US"/>
              </w:rPr>
              <w:t> </w:t>
            </w:r>
            <w:r w:rsidRPr="00435D3C">
              <w:rPr>
                <w:rFonts w:ascii="Times New Roman" w:hAnsi="Times New Roman" w:cs="Times New Roman"/>
                <w:color w:val="000000"/>
              </w:rPr>
              <w:t>170.091</w:t>
            </w:r>
          </w:p>
        </w:tc>
        <w:tc>
          <w:tcPr>
            <w:tcW w:w="1275"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4.2E-14</w:t>
            </w:r>
          </w:p>
        </w:tc>
      </w:tr>
      <w:tr w:rsidR="00F73E0A" w:rsidRPr="00435D3C" w:rsidTr="005819C3">
        <w:trPr>
          <w:trHeight w:val="57"/>
        </w:trPr>
        <w:tc>
          <w:tcPr>
            <w:tcW w:w="5499" w:type="dxa"/>
            <w:tcBorders>
              <w:top w:val="double" w:sz="6" w:space="0" w:color="auto"/>
              <w:left w:val="nil"/>
              <w:bottom w:val="nil"/>
              <w:right w:val="nil"/>
            </w:tcBorders>
            <w:vAlign w:val="bottom"/>
          </w:tcPr>
          <w:p w:rsidR="00F73E0A" w:rsidRPr="00435D3C" w:rsidRDefault="00F73E0A" w:rsidP="00506C64">
            <w:pPr>
              <w:autoSpaceDE w:val="0"/>
              <w:autoSpaceDN w:val="0"/>
              <w:adjustRightInd w:val="0"/>
              <w:spacing w:after="0" w:line="240" w:lineRule="auto"/>
              <w:rPr>
                <w:rFonts w:ascii="Times New Roman" w:hAnsi="Times New Roman" w:cs="Times New Roman"/>
                <w:color w:val="000000"/>
                <w:lang w:val="en-US"/>
              </w:rPr>
            </w:pPr>
            <w:r w:rsidRPr="00435D3C">
              <w:rPr>
                <w:rFonts w:ascii="Times New Roman" w:hAnsi="Times New Roman" w:cs="Times New Roman"/>
                <w:color w:val="000000"/>
                <w:lang w:val="en-US"/>
              </w:rPr>
              <w:t xml:space="preserve">M does not Granger Cause </w:t>
            </w:r>
            <w:proofErr w:type="spellStart"/>
            <w:r w:rsidRPr="00435D3C">
              <w:rPr>
                <w:rFonts w:ascii="Times New Roman" w:hAnsi="Times New Roman" w:cs="Times New Roman"/>
                <w:color w:val="000000"/>
                <w:lang w:val="en-US"/>
              </w:rPr>
              <w:t>C</w:t>
            </w:r>
            <w:r w:rsidR="00506C64">
              <w:rPr>
                <w:rFonts w:ascii="Times New Roman" w:hAnsi="Times New Roman" w:cs="Times New Roman"/>
                <w:color w:val="000000"/>
                <w:lang w:val="en-US"/>
              </w:rPr>
              <w:t>ost</w:t>
            </w:r>
            <w:r w:rsidRPr="00435D3C">
              <w:rPr>
                <w:rFonts w:ascii="Times New Roman" w:hAnsi="Times New Roman" w:cs="Times New Roman"/>
                <w:color w:val="000000"/>
                <w:lang w:val="en-US"/>
              </w:rPr>
              <w:t>_</w:t>
            </w:r>
            <w:r w:rsidR="00506C64">
              <w:rPr>
                <w:rFonts w:ascii="Times New Roman" w:hAnsi="Times New Roman" w:cs="Times New Roman"/>
                <w:color w:val="000000"/>
                <w:lang w:val="en-US"/>
              </w:rPr>
              <w:t>to</w:t>
            </w:r>
            <w:r w:rsidRPr="00435D3C">
              <w:rPr>
                <w:rFonts w:ascii="Times New Roman" w:hAnsi="Times New Roman" w:cs="Times New Roman"/>
                <w:color w:val="000000"/>
                <w:lang w:val="en-US"/>
              </w:rPr>
              <w:t>_M</w:t>
            </w:r>
            <w:proofErr w:type="spellEnd"/>
          </w:p>
        </w:tc>
        <w:tc>
          <w:tcPr>
            <w:tcW w:w="567"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27</w:t>
            </w:r>
          </w:p>
        </w:tc>
        <w:tc>
          <w:tcPr>
            <w:tcW w:w="1701"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1.05044</w:t>
            </w:r>
          </w:p>
        </w:tc>
        <w:tc>
          <w:tcPr>
            <w:tcW w:w="1275"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0.36668</w:t>
            </w:r>
          </w:p>
        </w:tc>
      </w:tr>
      <w:tr w:rsidR="00F73E0A" w:rsidRPr="00435D3C" w:rsidTr="005819C3">
        <w:trPr>
          <w:trHeight w:val="57"/>
        </w:trPr>
        <w:tc>
          <w:tcPr>
            <w:tcW w:w="6066" w:type="dxa"/>
            <w:gridSpan w:val="2"/>
            <w:tcBorders>
              <w:top w:val="nil"/>
              <w:left w:val="nil"/>
              <w:bottom w:val="double" w:sz="6" w:space="0" w:color="auto"/>
              <w:right w:val="nil"/>
            </w:tcBorders>
            <w:vAlign w:val="bottom"/>
          </w:tcPr>
          <w:p w:rsidR="00F73E0A" w:rsidRPr="00435D3C" w:rsidRDefault="00F73E0A" w:rsidP="00506C64">
            <w:pPr>
              <w:autoSpaceDE w:val="0"/>
              <w:autoSpaceDN w:val="0"/>
              <w:adjustRightInd w:val="0"/>
              <w:spacing w:after="0" w:line="240" w:lineRule="auto"/>
              <w:rPr>
                <w:rFonts w:ascii="Times New Roman" w:hAnsi="Times New Roman" w:cs="Times New Roman"/>
                <w:color w:val="000000"/>
                <w:lang w:val="en-US"/>
              </w:rPr>
            </w:pPr>
            <w:proofErr w:type="spellStart"/>
            <w:r w:rsidRPr="00435D3C">
              <w:rPr>
                <w:rFonts w:ascii="Times New Roman" w:hAnsi="Times New Roman" w:cs="Times New Roman"/>
                <w:color w:val="000000"/>
                <w:lang w:val="en-US"/>
              </w:rPr>
              <w:t>C</w:t>
            </w:r>
            <w:r w:rsidR="00506C64">
              <w:rPr>
                <w:rFonts w:ascii="Times New Roman" w:hAnsi="Times New Roman" w:cs="Times New Roman"/>
                <w:color w:val="000000"/>
                <w:lang w:val="en-US"/>
              </w:rPr>
              <w:t>ost</w:t>
            </w:r>
            <w:r w:rsidRPr="00435D3C">
              <w:rPr>
                <w:rFonts w:ascii="Times New Roman" w:hAnsi="Times New Roman" w:cs="Times New Roman"/>
                <w:color w:val="000000"/>
                <w:lang w:val="en-US"/>
              </w:rPr>
              <w:t>_</w:t>
            </w:r>
            <w:r w:rsidR="00506C64">
              <w:rPr>
                <w:rFonts w:ascii="Times New Roman" w:hAnsi="Times New Roman" w:cs="Times New Roman"/>
                <w:color w:val="000000"/>
                <w:lang w:val="en-US"/>
              </w:rPr>
              <w:t>to</w:t>
            </w:r>
            <w:r w:rsidRPr="00435D3C">
              <w:rPr>
                <w:rFonts w:ascii="Times New Roman" w:hAnsi="Times New Roman" w:cs="Times New Roman"/>
                <w:color w:val="000000"/>
                <w:lang w:val="en-US"/>
              </w:rPr>
              <w:t>_M</w:t>
            </w:r>
            <w:proofErr w:type="spellEnd"/>
            <w:r w:rsidRPr="00435D3C">
              <w:rPr>
                <w:rFonts w:ascii="Times New Roman" w:hAnsi="Times New Roman" w:cs="Times New Roman"/>
                <w:color w:val="000000"/>
                <w:lang w:val="en-US"/>
              </w:rPr>
              <w:t xml:space="preserve"> does not Granger Cause M</w:t>
            </w:r>
          </w:p>
        </w:tc>
        <w:tc>
          <w:tcPr>
            <w:tcW w:w="1701"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lang w:val="en-US"/>
              </w:rPr>
              <w:t> </w:t>
            </w:r>
            <w:r w:rsidRPr="00435D3C">
              <w:rPr>
                <w:rFonts w:ascii="Times New Roman" w:hAnsi="Times New Roman" w:cs="Times New Roman"/>
                <w:color w:val="000000"/>
              </w:rPr>
              <w:t>4.77996</w:t>
            </w:r>
          </w:p>
        </w:tc>
        <w:tc>
          <w:tcPr>
            <w:tcW w:w="1275"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0.01889</w:t>
            </w:r>
          </w:p>
        </w:tc>
      </w:tr>
      <w:tr w:rsidR="00F73E0A" w:rsidRPr="00435D3C" w:rsidTr="005819C3">
        <w:trPr>
          <w:trHeight w:val="57"/>
        </w:trPr>
        <w:tc>
          <w:tcPr>
            <w:tcW w:w="5499" w:type="dxa"/>
            <w:tcBorders>
              <w:top w:val="double" w:sz="6" w:space="0" w:color="auto"/>
              <w:left w:val="nil"/>
              <w:bottom w:val="nil"/>
              <w:right w:val="nil"/>
            </w:tcBorders>
            <w:vAlign w:val="bottom"/>
          </w:tcPr>
          <w:p w:rsidR="00F73E0A" w:rsidRPr="00435D3C" w:rsidRDefault="00F73E0A" w:rsidP="00506C64">
            <w:pPr>
              <w:autoSpaceDE w:val="0"/>
              <w:autoSpaceDN w:val="0"/>
              <w:adjustRightInd w:val="0"/>
              <w:spacing w:after="0" w:line="240" w:lineRule="auto"/>
              <w:rPr>
                <w:rFonts w:ascii="Times New Roman" w:hAnsi="Times New Roman" w:cs="Times New Roman"/>
                <w:color w:val="000000"/>
                <w:lang w:val="en-US"/>
              </w:rPr>
            </w:pPr>
            <w:r w:rsidRPr="00435D3C">
              <w:rPr>
                <w:rFonts w:ascii="Times New Roman" w:hAnsi="Times New Roman" w:cs="Times New Roman"/>
                <w:color w:val="000000"/>
                <w:lang w:val="en-US"/>
              </w:rPr>
              <w:t xml:space="preserve">M does not Granger Cause </w:t>
            </w:r>
            <w:proofErr w:type="spellStart"/>
            <w:r w:rsidRPr="00435D3C">
              <w:rPr>
                <w:rFonts w:ascii="Times New Roman" w:hAnsi="Times New Roman" w:cs="Times New Roman"/>
                <w:color w:val="000000"/>
                <w:lang w:val="en-US"/>
              </w:rPr>
              <w:t>T</w:t>
            </w:r>
            <w:r w:rsidR="00506C64">
              <w:rPr>
                <w:rFonts w:ascii="Times New Roman" w:hAnsi="Times New Roman" w:cs="Times New Roman"/>
                <w:color w:val="000000"/>
                <w:lang w:val="en-US"/>
              </w:rPr>
              <w:t>ime</w:t>
            </w:r>
            <w:r w:rsidRPr="00435D3C">
              <w:rPr>
                <w:rFonts w:ascii="Times New Roman" w:hAnsi="Times New Roman" w:cs="Times New Roman"/>
                <w:color w:val="000000"/>
                <w:lang w:val="en-US"/>
              </w:rPr>
              <w:t>_</w:t>
            </w:r>
            <w:r w:rsidR="00506C64">
              <w:rPr>
                <w:rFonts w:ascii="Times New Roman" w:hAnsi="Times New Roman" w:cs="Times New Roman"/>
                <w:color w:val="000000"/>
                <w:lang w:val="en-US"/>
              </w:rPr>
              <w:t>to</w:t>
            </w:r>
            <w:r w:rsidRPr="00435D3C">
              <w:rPr>
                <w:rFonts w:ascii="Times New Roman" w:hAnsi="Times New Roman" w:cs="Times New Roman"/>
                <w:color w:val="000000"/>
                <w:lang w:val="en-US"/>
              </w:rPr>
              <w:t>_M</w:t>
            </w:r>
            <w:proofErr w:type="spellEnd"/>
          </w:p>
        </w:tc>
        <w:tc>
          <w:tcPr>
            <w:tcW w:w="567"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27</w:t>
            </w:r>
          </w:p>
        </w:tc>
        <w:tc>
          <w:tcPr>
            <w:tcW w:w="1701"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1.15470</w:t>
            </w:r>
          </w:p>
        </w:tc>
        <w:tc>
          <w:tcPr>
            <w:tcW w:w="1275" w:type="dxa"/>
            <w:tcBorders>
              <w:top w:val="double" w:sz="6" w:space="0" w:color="auto"/>
              <w:left w:val="nil"/>
              <w:bottom w:val="nil"/>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0.33353</w:t>
            </w:r>
          </w:p>
        </w:tc>
      </w:tr>
      <w:tr w:rsidR="00F73E0A" w:rsidRPr="00435D3C" w:rsidTr="005819C3">
        <w:trPr>
          <w:trHeight w:val="57"/>
        </w:trPr>
        <w:tc>
          <w:tcPr>
            <w:tcW w:w="6066" w:type="dxa"/>
            <w:gridSpan w:val="2"/>
            <w:tcBorders>
              <w:top w:val="nil"/>
              <w:left w:val="nil"/>
              <w:bottom w:val="double" w:sz="6" w:space="0" w:color="auto"/>
              <w:right w:val="nil"/>
            </w:tcBorders>
            <w:vAlign w:val="bottom"/>
          </w:tcPr>
          <w:p w:rsidR="00F73E0A" w:rsidRPr="00435D3C" w:rsidRDefault="00B2438F" w:rsidP="00506C64">
            <w:pPr>
              <w:autoSpaceDE w:val="0"/>
              <w:autoSpaceDN w:val="0"/>
              <w:adjustRightInd w:val="0"/>
              <w:spacing w:after="0" w:line="240" w:lineRule="auto"/>
              <w:rPr>
                <w:rFonts w:ascii="Times New Roman" w:hAnsi="Times New Roman" w:cs="Times New Roman"/>
                <w:color w:val="000000"/>
                <w:lang w:val="en-US"/>
              </w:rPr>
            </w:pPr>
            <w:proofErr w:type="spellStart"/>
            <w:r>
              <w:rPr>
                <w:rFonts w:ascii="Times New Roman" w:hAnsi="Times New Roman" w:cs="Times New Roman"/>
                <w:color w:val="000000"/>
                <w:lang w:val="en-US"/>
              </w:rPr>
              <w:t>T</w:t>
            </w:r>
            <w:r w:rsidR="00506C64">
              <w:rPr>
                <w:rFonts w:ascii="Times New Roman" w:hAnsi="Times New Roman" w:cs="Times New Roman"/>
                <w:color w:val="000000"/>
                <w:lang w:val="en-US"/>
              </w:rPr>
              <w:t>ime</w:t>
            </w:r>
            <w:r w:rsidR="00F73E0A" w:rsidRPr="00435D3C">
              <w:rPr>
                <w:rFonts w:ascii="Times New Roman" w:hAnsi="Times New Roman" w:cs="Times New Roman"/>
                <w:color w:val="000000"/>
                <w:lang w:val="en-US"/>
              </w:rPr>
              <w:t>_</w:t>
            </w:r>
            <w:r w:rsidR="00506C64">
              <w:rPr>
                <w:rFonts w:ascii="Times New Roman" w:hAnsi="Times New Roman" w:cs="Times New Roman"/>
                <w:color w:val="000000"/>
                <w:lang w:val="en-US"/>
              </w:rPr>
              <w:t>to</w:t>
            </w:r>
            <w:r w:rsidR="00F73E0A" w:rsidRPr="00435D3C">
              <w:rPr>
                <w:rFonts w:ascii="Times New Roman" w:hAnsi="Times New Roman" w:cs="Times New Roman"/>
                <w:color w:val="000000"/>
                <w:lang w:val="en-US"/>
              </w:rPr>
              <w:t>_M</w:t>
            </w:r>
            <w:proofErr w:type="spellEnd"/>
            <w:r w:rsidR="00F73E0A" w:rsidRPr="00435D3C">
              <w:rPr>
                <w:rFonts w:ascii="Times New Roman" w:hAnsi="Times New Roman" w:cs="Times New Roman"/>
                <w:color w:val="000000"/>
                <w:lang w:val="en-US"/>
              </w:rPr>
              <w:t xml:space="preserve"> does not Granger Cause M</w:t>
            </w:r>
          </w:p>
        </w:tc>
        <w:tc>
          <w:tcPr>
            <w:tcW w:w="1701"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lang w:val="en-US"/>
              </w:rPr>
              <w:t> </w:t>
            </w:r>
            <w:r w:rsidRPr="00435D3C">
              <w:rPr>
                <w:rFonts w:ascii="Times New Roman" w:hAnsi="Times New Roman" w:cs="Times New Roman"/>
                <w:color w:val="000000"/>
              </w:rPr>
              <w:t>3.63819</w:t>
            </w:r>
          </w:p>
        </w:tc>
        <w:tc>
          <w:tcPr>
            <w:tcW w:w="1275" w:type="dxa"/>
            <w:tcBorders>
              <w:top w:val="nil"/>
              <w:left w:val="nil"/>
              <w:bottom w:val="double" w:sz="6" w:space="0" w:color="auto"/>
              <w:right w:val="nil"/>
            </w:tcBorders>
            <w:vAlign w:val="bottom"/>
          </w:tcPr>
          <w:p w:rsidR="00F73E0A" w:rsidRPr="00435D3C" w:rsidRDefault="00F73E0A">
            <w:pPr>
              <w:autoSpaceDE w:val="0"/>
              <w:autoSpaceDN w:val="0"/>
              <w:adjustRightInd w:val="0"/>
              <w:spacing w:after="0" w:line="240" w:lineRule="auto"/>
              <w:jc w:val="center"/>
              <w:rPr>
                <w:rFonts w:ascii="Times New Roman" w:hAnsi="Times New Roman" w:cs="Times New Roman"/>
                <w:color w:val="000000"/>
              </w:rPr>
            </w:pPr>
            <w:r w:rsidRPr="00435D3C">
              <w:rPr>
                <w:rFonts w:ascii="Times New Roman" w:hAnsi="Times New Roman" w:cs="Times New Roman"/>
                <w:color w:val="000000"/>
              </w:rPr>
              <w:t> 0.04315</w:t>
            </w:r>
          </w:p>
        </w:tc>
      </w:tr>
    </w:tbl>
    <w:p w:rsidR="00435D3C" w:rsidRDefault="00435D3C" w:rsidP="00332F0B">
      <w:pPr>
        <w:jc w:val="both"/>
        <w:rPr>
          <w:rFonts w:ascii="Times New Roman" w:hAnsi="Times New Roman" w:cs="Times New Roman"/>
          <w:sz w:val="24"/>
          <w:szCs w:val="24"/>
        </w:rPr>
      </w:pPr>
      <w:r>
        <w:rPr>
          <w:rFonts w:ascii="Times New Roman" w:hAnsi="Times New Roman" w:cs="Times New Roman"/>
          <w:sz w:val="24"/>
          <w:szCs w:val="24"/>
        </w:rPr>
        <w:t>Source : Auteurs</w:t>
      </w:r>
      <w:r w:rsidR="0089255D">
        <w:rPr>
          <w:rFonts w:ascii="Times New Roman" w:hAnsi="Times New Roman" w:cs="Times New Roman"/>
          <w:sz w:val="24"/>
          <w:szCs w:val="24"/>
        </w:rPr>
        <w:t>.</w:t>
      </w:r>
    </w:p>
    <w:p w:rsidR="00FD1090" w:rsidRDefault="00A84810" w:rsidP="00C20228">
      <w:pPr>
        <w:spacing w:before="120" w:after="120"/>
        <w:jc w:val="both"/>
        <w:rPr>
          <w:rFonts w:ascii="Times New Roman" w:hAnsi="Times New Roman" w:cs="Times New Roman"/>
          <w:sz w:val="24"/>
          <w:szCs w:val="24"/>
        </w:rPr>
      </w:pPr>
      <w:r>
        <w:rPr>
          <w:rFonts w:ascii="Times New Roman" w:hAnsi="Times New Roman" w:cs="Times New Roman"/>
          <w:sz w:val="24"/>
          <w:szCs w:val="24"/>
        </w:rPr>
        <w:t>Les variables concernent l’</w:t>
      </w:r>
      <w:r w:rsidR="00FD1090">
        <w:rPr>
          <w:rFonts w:ascii="Times New Roman" w:hAnsi="Times New Roman" w:cs="Times New Roman"/>
          <w:sz w:val="24"/>
          <w:szCs w:val="24"/>
        </w:rPr>
        <w:t>aide pour le commerce y compris la subvention du MCA sur le quinquennat 2006-2011 (</w:t>
      </w:r>
      <w:proofErr w:type="spellStart"/>
      <w:r w:rsidR="00FD1090" w:rsidRPr="0089255D">
        <w:rPr>
          <w:rFonts w:ascii="Times New Roman" w:hAnsi="Times New Roman" w:cs="Times New Roman"/>
          <w:i/>
          <w:sz w:val="24"/>
          <w:szCs w:val="24"/>
        </w:rPr>
        <w:t>AfT_MCA</w:t>
      </w:r>
      <w:proofErr w:type="spellEnd"/>
      <w:r w:rsidR="00FD1090">
        <w:rPr>
          <w:rFonts w:ascii="Times New Roman" w:hAnsi="Times New Roman" w:cs="Times New Roman"/>
          <w:sz w:val="24"/>
          <w:szCs w:val="24"/>
        </w:rPr>
        <w:t xml:space="preserve">), </w:t>
      </w:r>
      <w:r>
        <w:rPr>
          <w:rFonts w:ascii="Times New Roman" w:hAnsi="Times New Roman" w:cs="Times New Roman"/>
          <w:sz w:val="24"/>
          <w:szCs w:val="24"/>
        </w:rPr>
        <w:t>le</w:t>
      </w:r>
      <w:r w:rsidR="00FD1090">
        <w:rPr>
          <w:rFonts w:ascii="Times New Roman" w:hAnsi="Times New Roman" w:cs="Times New Roman"/>
          <w:sz w:val="24"/>
          <w:szCs w:val="24"/>
        </w:rPr>
        <w:t xml:space="preserve"> coût de traitement du conteneur à l’importation (</w:t>
      </w:r>
      <w:proofErr w:type="spellStart"/>
      <w:r w:rsidR="00FD1090" w:rsidRPr="0089255D">
        <w:rPr>
          <w:rFonts w:ascii="Times New Roman" w:hAnsi="Times New Roman" w:cs="Times New Roman"/>
          <w:i/>
          <w:sz w:val="24"/>
          <w:szCs w:val="24"/>
        </w:rPr>
        <w:t>Cost_to_M</w:t>
      </w:r>
      <w:proofErr w:type="spellEnd"/>
      <w:r w:rsidR="00FD1090">
        <w:rPr>
          <w:rFonts w:ascii="Times New Roman" w:hAnsi="Times New Roman" w:cs="Times New Roman"/>
          <w:sz w:val="24"/>
          <w:szCs w:val="24"/>
        </w:rPr>
        <w:t xml:space="preserve">), </w:t>
      </w:r>
      <w:r>
        <w:rPr>
          <w:rFonts w:ascii="Times New Roman" w:hAnsi="Times New Roman" w:cs="Times New Roman"/>
          <w:sz w:val="24"/>
          <w:szCs w:val="24"/>
        </w:rPr>
        <w:t>le</w:t>
      </w:r>
      <w:r w:rsidR="00FD1090">
        <w:rPr>
          <w:rFonts w:ascii="Times New Roman" w:hAnsi="Times New Roman" w:cs="Times New Roman"/>
          <w:sz w:val="24"/>
          <w:szCs w:val="24"/>
        </w:rPr>
        <w:t xml:space="preserve"> temps de traitement du conteneur</w:t>
      </w:r>
      <w:r w:rsidR="00C83AFC">
        <w:rPr>
          <w:rFonts w:ascii="Times New Roman" w:hAnsi="Times New Roman" w:cs="Times New Roman"/>
          <w:sz w:val="24"/>
          <w:szCs w:val="24"/>
        </w:rPr>
        <w:t xml:space="preserve"> à l’importation (</w:t>
      </w:r>
      <w:proofErr w:type="spellStart"/>
      <w:r w:rsidR="00C83AFC" w:rsidRPr="0089255D">
        <w:rPr>
          <w:rFonts w:ascii="Times New Roman" w:hAnsi="Times New Roman" w:cs="Times New Roman"/>
          <w:i/>
          <w:sz w:val="24"/>
          <w:szCs w:val="24"/>
        </w:rPr>
        <w:t>Time_to_M</w:t>
      </w:r>
      <w:proofErr w:type="spellEnd"/>
      <w:r w:rsidR="00C83AFC">
        <w:rPr>
          <w:rFonts w:ascii="Times New Roman" w:hAnsi="Times New Roman" w:cs="Times New Roman"/>
          <w:sz w:val="24"/>
          <w:szCs w:val="24"/>
        </w:rPr>
        <w:t xml:space="preserve">), puis </w:t>
      </w:r>
      <w:r>
        <w:rPr>
          <w:rFonts w:ascii="Times New Roman" w:hAnsi="Times New Roman" w:cs="Times New Roman"/>
          <w:sz w:val="24"/>
          <w:szCs w:val="24"/>
        </w:rPr>
        <w:t>l</w:t>
      </w:r>
      <w:r w:rsidR="00C83AFC">
        <w:rPr>
          <w:rFonts w:ascii="Times New Roman" w:hAnsi="Times New Roman" w:cs="Times New Roman"/>
          <w:sz w:val="24"/>
          <w:szCs w:val="24"/>
        </w:rPr>
        <w:t>es importations (</w:t>
      </w:r>
      <w:r w:rsidR="00C83AFC" w:rsidRPr="0089255D">
        <w:rPr>
          <w:rFonts w:ascii="Times New Roman" w:hAnsi="Times New Roman" w:cs="Times New Roman"/>
          <w:i/>
          <w:sz w:val="24"/>
          <w:szCs w:val="24"/>
        </w:rPr>
        <w:t>M</w:t>
      </w:r>
      <w:r w:rsidR="00C83AFC">
        <w:rPr>
          <w:rFonts w:ascii="Times New Roman" w:hAnsi="Times New Roman" w:cs="Times New Roman"/>
          <w:sz w:val="24"/>
          <w:szCs w:val="24"/>
        </w:rPr>
        <w:t>) en valeur. Au seuil de 5%, il est constaté que l’aide pour le commerce cause non seulement, le temps et le coût de traitement des conteneurs à l’importation au PAC, mais aussi les importations</w:t>
      </w:r>
      <w:r w:rsidR="00506C64">
        <w:rPr>
          <w:rStyle w:val="Appelnotedebasdep"/>
          <w:rFonts w:ascii="Times New Roman" w:hAnsi="Times New Roman" w:cs="Times New Roman"/>
          <w:sz w:val="24"/>
          <w:szCs w:val="24"/>
        </w:rPr>
        <w:footnoteReference w:id="11"/>
      </w:r>
      <w:r w:rsidR="00C83AFC">
        <w:rPr>
          <w:rFonts w:ascii="Times New Roman" w:hAnsi="Times New Roman" w:cs="Times New Roman"/>
          <w:sz w:val="24"/>
          <w:szCs w:val="24"/>
        </w:rPr>
        <w:t xml:space="preserve">. Dans la même dynamique et de façon indirecte, il est remarquable qu’aussi bien le coût que le temps de traitement causent les importations ; ce qui amplifierait l’effet causalité de l’aide pour le commerce sur les importations au Bénin dans la période. </w:t>
      </w:r>
      <w:r w:rsidR="00B2438F">
        <w:rPr>
          <w:rFonts w:ascii="Times New Roman" w:hAnsi="Times New Roman" w:cs="Times New Roman"/>
          <w:sz w:val="24"/>
          <w:szCs w:val="24"/>
        </w:rPr>
        <w:t>Enfin, il y a bien une relation de cause à effet bidirectionnelle entre le coût et le temps, pouvant justifier l’hypothèse d’une réduction de coût de transaction due à la réduction de temps moyen de traitement</w:t>
      </w:r>
      <w:r w:rsidR="0089255D">
        <w:rPr>
          <w:rFonts w:ascii="Times New Roman" w:hAnsi="Times New Roman" w:cs="Times New Roman"/>
          <w:sz w:val="24"/>
          <w:szCs w:val="24"/>
        </w:rPr>
        <w:t xml:space="preserve"> des opérations portuaires</w:t>
      </w:r>
      <w:r w:rsidR="00B2438F">
        <w:rPr>
          <w:rFonts w:ascii="Times New Roman" w:hAnsi="Times New Roman" w:cs="Times New Roman"/>
          <w:sz w:val="24"/>
          <w:szCs w:val="24"/>
        </w:rPr>
        <w:t>.</w:t>
      </w:r>
      <w:r w:rsidR="00543792">
        <w:rPr>
          <w:rFonts w:ascii="Times New Roman" w:hAnsi="Times New Roman" w:cs="Times New Roman"/>
          <w:sz w:val="24"/>
          <w:szCs w:val="24"/>
        </w:rPr>
        <w:t xml:space="preserve"> Sur la base de test de causalité, on conclut ainsi que des variations dans l’aide pour le commerce affecteraient directement les coûts et les durées de traitement des conteneurs à l’importation puis indirectement, les quantités de marchandises importées au Bénin dans la période. </w:t>
      </w:r>
      <w:r w:rsidR="00C20228">
        <w:rPr>
          <w:rFonts w:ascii="Times New Roman" w:eastAsia="Calibri" w:hAnsi="Times New Roman" w:cs="Times New Roman"/>
          <w:sz w:val="24"/>
          <w:szCs w:val="24"/>
        </w:rPr>
        <w:t>En référence à Cali et te Velde (2010) puis Collier et Dollar (2002), u</w:t>
      </w:r>
      <w:r w:rsidR="00543792">
        <w:rPr>
          <w:rFonts w:ascii="Times New Roman" w:hAnsi="Times New Roman" w:cs="Times New Roman"/>
          <w:sz w:val="24"/>
          <w:szCs w:val="24"/>
        </w:rPr>
        <w:t xml:space="preserve">ne </w:t>
      </w:r>
      <w:r w:rsidR="002C6A9C">
        <w:rPr>
          <w:rFonts w:ascii="Times New Roman" w:hAnsi="Times New Roman" w:cs="Times New Roman"/>
          <w:sz w:val="24"/>
          <w:szCs w:val="24"/>
        </w:rPr>
        <w:t xml:space="preserve">régression de la variable </w:t>
      </w:r>
      <w:r w:rsidR="002C6A9C" w:rsidRPr="00C20228">
        <w:rPr>
          <w:rFonts w:ascii="Times New Roman" w:hAnsi="Times New Roman" w:cs="Times New Roman"/>
          <w:i/>
          <w:sz w:val="24"/>
          <w:szCs w:val="24"/>
        </w:rPr>
        <w:t>M</w:t>
      </w:r>
      <w:r w:rsidR="002C6A9C">
        <w:rPr>
          <w:rFonts w:ascii="Times New Roman" w:hAnsi="Times New Roman" w:cs="Times New Roman"/>
          <w:sz w:val="24"/>
          <w:szCs w:val="24"/>
        </w:rPr>
        <w:t xml:space="preserve"> sur ces exogènes permettr</w:t>
      </w:r>
      <w:r w:rsidR="00637E57">
        <w:rPr>
          <w:rFonts w:ascii="Times New Roman" w:hAnsi="Times New Roman" w:cs="Times New Roman"/>
          <w:sz w:val="24"/>
          <w:szCs w:val="24"/>
        </w:rPr>
        <w:t>a de corroborer cette intuition</w:t>
      </w:r>
      <w:r w:rsidR="002C6A9C">
        <w:rPr>
          <w:rFonts w:ascii="Times New Roman" w:hAnsi="Times New Roman" w:cs="Times New Roman"/>
          <w:sz w:val="24"/>
          <w:szCs w:val="24"/>
        </w:rPr>
        <w:t>.</w:t>
      </w:r>
    </w:p>
    <w:p w:rsidR="00637E57" w:rsidRDefault="00637E57" w:rsidP="00C20228">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Pour expliquer les importations en valeur, il est considéré le produit intérieur brut (</w:t>
      </w:r>
      <w:proofErr w:type="spellStart"/>
      <w:r w:rsidRPr="00637E57">
        <w:rPr>
          <w:rFonts w:ascii="Times New Roman" w:hAnsi="Times New Roman" w:cs="Times New Roman"/>
          <w:i/>
          <w:sz w:val="24"/>
          <w:szCs w:val="24"/>
        </w:rPr>
        <w:t>lnPib</w:t>
      </w:r>
      <w:proofErr w:type="spellEnd"/>
      <w:r>
        <w:rPr>
          <w:rFonts w:ascii="Times New Roman" w:hAnsi="Times New Roman" w:cs="Times New Roman"/>
          <w:sz w:val="24"/>
          <w:szCs w:val="24"/>
        </w:rPr>
        <w:t>), l’aide pour le commerce sans la subvention du MCA</w:t>
      </w:r>
      <w:r w:rsidR="0050671B">
        <w:rPr>
          <w:rStyle w:val="Appelnotedebasdep"/>
          <w:rFonts w:ascii="Times New Roman" w:hAnsi="Times New Roman" w:cs="Times New Roman"/>
          <w:sz w:val="24"/>
          <w:szCs w:val="24"/>
        </w:rPr>
        <w:footnoteReference w:id="12"/>
      </w:r>
      <w:r>
        <w:rPr>
          <w:rFonts w:ascii="Times New Roman" w:hAnsi="Times New Roman" w:cs="Times New Roman"/>
          <w:sz w:val="24"/>
          <w:szCs w:val="24"/>
        </w:rPr>
        <w:t xml:space="preserve"> (</w:t>
      </w:r>
      <w:proofErr w:type="spellStart"/>
      <w:r w:rsidRPr="00637E57">
        <w:rPr>
          <w:rFonts w:ascii="Times New Roman" w:hAnsi="Times New Roman" w:cs="Times New Roman"/>
          <w:i/>
          <w:sz w:val="24"/>
          <w:szCs w:val="24"/>
        </w:rPr>
        <w:t>lnAfT_NMCA</w:t>
      </w:r>
      <w:proofErr w:type="spellEnd"/>
      <w:r>
        <w:rPr>
          <w:rFonts w:ascii="Times New Roman" w:hAnsi="Times New Roman" w:cs="Times New Roman"/>
          <w:sz w:val="24"/>
          <w:szCs w:val="24"/>
        </w:rPr>
        <w:t>) et son carré</w:t>
      </w:r>
      <w:r w:rsidR="00BD6248">
        <w:rPr>
          <w:rStyle w:val="Appelnotedebasdep"/>
          <w:rFonts w:ascii="Times New Roman" w:hAnsi="Times New Roman" w:cs="Times New Roman"/>
          <w:sz w:val="24"/>
          <w:szCs w:val="24"/>
        </w:rPr>
        <w:footnoteReference w:id="13"/>
      </w:r>
      <w:r>
        <w:rPr>
          <w:rFonts w:ascii="Times New Roman" w:hAnsi="Times New Roman" w:cs="Times New Roman"/>
          <w:sz w:val="24"/>
          <w:szCs w:val="24"/>
        </w:rPr>
        <w:t xml:space="preserve"> (</w:t>
      </w:r>
      <w:r w:rsidRPr="00637E57">
        <w:rPr>
          <w:rFonts w:ascii="Times New Roman" w:hAnsi="Times New Roman" w:cs="Times New Roman"/>
          <w:i/>
          <w:sz w:val="24"/>
          <w:szCs w:val="24"/>
        </w:rPr>
        <w:t>lnAfT_NMCA</w:t>
      </w:r>
      <w:r w:rsidRPr="00637E57">
        <w:rPr>
          <w:rFonts w:ascii="Times New Roman" w:hAnsi="Times New Roman" w:cs="Times New Roman"/>
          <w:i/>
          <w:sz w:val="24"/>
          <w:szCs w:val="24"/>
          <w:vertAlign w:val="superscript"/>
        </w:rPr>
        <w:t>2</w:t>
      </w:r>
      <w:r>
        <w:rPr>
          <w:rFonts w:ascii="Times New Roman" w:hAnsi="Times New Roman" w:cs="Times New Roman"/>
          <w:sz w:val="24"/>
          <w:szCs w:val="24"/>
        </w:rPr>
        <w:t xml:space="preserve">), la variable </w:t>
      </w:r>
      <w:proofErr w:type="spellStart"/>
      <w:r>
        <w:rPr>
          <w:rFonts w:ascii="Times New Roman" w:hAnsi="Times New Roman" w:cs="Times New Roman"/>
          <w:sz w:val="24"/>
          <w:szCs w:val="24"/>
        </w:rPr>
        <w:t>dummy</w:t>
      </w:r>
      <w:proofErr w:type="spellEnd"/>
      <w:r>
        <w:rPr>
          <w:rFonts w:ascii="Times New Roman" w:hAnsi="Times New Roman" w:cs="Times New Roman"/>
          <w:sz w:val="24"/>
          <w:szCs w:val="24"/>
        </w:rPr>
        <w:t xml:space="preserve"> avec zéro avant 2006 et 1 après 2006 (</w:t>
      </w:r>
      <w:r w:rsidRPr="00637E57">
        <w:rPr>
          <w:rFonts w:ascii="Times New Roman" w:hAnsi="Times New Roman" w:cs="Times New Roman"/>
          <w:i/>
          <w:sz w:val="24"/>
          <w:szCs w:val="24"/>
        </w:rPr>
        <w:t>MCA</w:t>
      </w:r>
      <w:r>
        <w:rPr>
          <w:rFonts w:ascii="Times New Roman" w:hAnsi="Times New Roman" w:cs="Times New Roman"/>
          <w:sz w:val="24"/>
          <w:szCs w:val="24"/>
        </w:rPr>
        <w:t>), l’aide pour le commerce avec la subvention du MCA (</w:t>
      </w:r>
      <w:proofErr w:type="spellStart"/>
      <w:r w:rsidRPr="00637E57">
        <w:rPr>
          <w:rFonts w:ascii="Times New Roman" w:hAnsi="Times New Roman" w:cs="Times New Roman"/>
          <w:i/>
          <w:sz w:val="24"/>
          <w:szCs w:val="24"/>
        </w:rPr>
        <w:t>lnAfT_MCA</w:t>
      </w:r>
      <w:proofErr w:type="spellEnd"/>
      <w:r>
        <w:rPr>
          <w:rFonts w:ascii="Times New Roman" w:hAnsi="Times New Roman" w:cs="Times New Roman"/>
          <w:sz w:val="24"/>
          <w:szCs w:val="24"/>
        </w:rPr>
        <w:t>) et son carré (</w:t>
      </w:r>
      <w:r w:rsidRPr="00637E57">
        <w:rPr>
          <w:rFonts w:ascii="Times New Roman" w:hAnsi="Times New Roman" w:cs="Times New Roman"/>
          <w:i/>
          <w:sz w:val="24"/>
          <w:szCs w:val="24"/>
        </w:rPr>
        <w:t>lnAfT_MCA</w:t>
      </w:r>
      <w:r w:rsidRPr="00637E57">
        <w:rPr>
          <w:rFonts w:ascii="Times New Roman" w:hAnsi="Times New Roman" w:cs="Times New Roman"/>
          <w:i/>
          <w:sz w:val="24"/>
          <w:szCs w:val="24"/>
          <w:vertAlign w:val="superscript"/>
        </w:rPr>
        <w:t>2</w:t>
      </w:r>
      <w:r>
        <w:rPr>
          <w:rFonts w:ascii="Times New Roman" w:hAnsi="Times New Roman" w:cs="Times New Roman"/>
          <w:sz w:val="24"/>
          <w:szCs w:val="24"/>
        </w:rPr>
        <w:t>), le temps à l’importation (</w:t>
      </w:r>
      <w:proofErr w:type="spellStart"/>
      <w:r w:rsidRPr="00637E57">
        <w:rPr>
          <w:rFonts w:ascii="Times New Roman" w:hAnsi="Times New Roman" w:cs="Times New Roman"/>
          <w:i/>
          <w:sz w:val="24"/>
          <w:szCs w:val="24"/>
        </w:rPr>
        <w:t>Time_to_M</w:t>
      </w:r>
      <w:proofErr w:type="spellEnd"/>
      <w:r>
        <w:rPr>
          <w:rFonts w:ascii="Times New Roman" w:hAnsi="Times New Roman" w:cs="Times New Roman"/>
          <w:sz w:val="24"/>
          <w:szCs w:val="24"/>
        </w:rPr>
        <w:t>) puis le coût à l’importation (</w:t>
      </w:r>
      <w:proofErr w:type="spellStart"/>
      <w:r w:rsidRPr="00637E57">
        <w:rPr>
          <w:rFonts w:ascii="Times New Roman" w:hAnsi="Times New Roman" w:cs="Times New Roman"/>
          <w:i/>
          <w:sz w:val="24"/>
          <w:szCs w:val="24"/>
        </w:rPr>
        <w:t>Cost_to_M</w:t>
      </w:r>
      <w:proofErr w:type="spellEnd"/>
      <w:r>
        <w:rPr>
          <w:rFonts w:ascii="Times New Roman" w:hAnsi="Times New Roman" w:cs="Times New Roman"/>
          <w:sz w:val="24"/>
          <w:szCs w:val="24"/>
        </w:rPr>
        <w:t>). Deux scénarii sont distingués : l’estimation avec la subvention d’une part puis l’estimation sans la subvention </w:t>
      </w:r>
      <w:r w:rsidR="00BD6248">
        <w:rPr>
          <w:rFonts w:ascii="Times New Roman" w:hAnsi="Times New Roman" w:cs="Times New Roman"/>
          <w:sz w:val="24"/>
          <w:szCs w:val="24"/>
        </w:rPr>
        <w:t>sur</w:t>
      </w:r>
      <w:r w:rsidR="0051558A">
        <w:rPr>
          <w:rFonts w:ascii="Times New Roman" w:hAnsi="Times New Roman" w:cs="Times New Roman"/>
          <w:sz w:val="24"/>
          <w:szCs w:val="24"/>
        </w:rPr>
        <w:t xml:space="preserve"> la période 1985-2013</w:t>
      </w:r>
      <w:r w:rsidR="00A05915">
        <w:rPr>
          <w:rFonts w:ascii="Times New Roman" w:hAnsi="Times New Roman" w:cs="Times New Roman"/>
          <w:sz w:val="24"/>
          <w:szCs w:val="24"/>
        </w:rPr>
        <w:t xml:space="preserve"> d’autre part</w:t>
      </w:r>
      <w:r w:rsidR="00BD6248">
        <w:rPr>
          <w:rFonts w:ascii="Times New Roman" w:hAnsi="Times New Roman" w:cs="Times New Roman"/>
          <w:sz w:val="24"/>
          <w:szCs w:val="24"/>
        </w:rPr>
        <w:t>.</w:t>
      </w:r>
      <w:r>
        <w:rPr>
          <w:rFonts w:ascii="Times New Roman" w:hAnsi="Times New Roman" w:cs="Times New Roman"/>
          <w:sz w:val="24"/>
          <w:szCs w:val="24"/>
        </w:rPr>
        <w:t xml:space="preserve"> </w:t>
      </w:r>
      <w:r w:rsidR="00BD6248">
        <w:rPr>
          <w:rFonts w:ascii="Times New Roman" w:hAnsi="Times New Roman" w:cs="Times New Roman"/>
          <w:sz w:val="24"/>
          <w:szCs w:val="24"/>
        </w:rPr>
        <w:t>L</w:t>
      </w:r>
      <w:r>
        <w:rPr>
          <w:rFonts w:ascii="Times New Roman" w:hAnsi="Times New Roman" w:cs="Times New Roman"/>
          <w:sz w:val="24"/>
          <w:szCs w:val="24"/>
        </w:rPr>
        <w:t xml:space="preserve">es </w:t>
      </w:r>
      <w:r w:rsidR="005819C3">
        <w:rPr>
          <w:rFonts w:ascii="Times New Roman" w:hAnsi="Times New Roman" w:cs="Times New Roman"/>
          <w:sz w:val="24"/>
          <w:szCs w:val="24"/>
        </w:rPr>
        <w:t>résultats sont consignés dans le</w:t>
      </w:r>
      <w:r>
        <w:rPr>
          <w:rFonts w:ascii="Times New Roman" w:hAnsi="Times New Roman" w:cs="Times New Roman"/>
          <w:sz w:val="24"/>
          <w:szCs w:val="24"/>
        </w:rPr>
        <w:t xml:space="preserve"> table</w:t>
      </w:r>
      <w:r w:rsidR="005819C3">
        <w:rPr>
          <w:rFonts w:ascii="Times New Roman" w:hAnsi="Times New Roman" w:cs="Times New Roman"/>
          <w:sz w:val="24"/>
          <w:szCs w:val="24"/>
        </w:rPr>
        <w:t>au</w:t>
      </w:r>
      <w:r>
        <w:rPr>
          <w:rFonts w:ascii="Times New Roman" w:hAnsi="Times New Roman" w:cs="Times New Roman"/>
          <w:sz w:val="24"/>
          <w:szCs w:val="24"/>
        </w:rPr>
        <w:t xml:space="preserve"> 5 ci-après.</w:t>
      </w:r>
    </w:p>
    <w:p w:rsidR="002C6A9C" w:rsidRPr="000C71E6" w:rsidRDefault="00C20228" w:rsidP="00FD1090">
      <w:pPr>
        <w:jc w:val="both"/>
        <w:rPr>
          <w:rFonts w:ascii="Times New Roman" w:hAnsi="Times New Roman" w:cs="Times New Roman"/>
          <w:b/>
          <w:sz w:val="24"/>
          <w:szCs w:val="24"/>
        </w:rPr>
      </w:pPr>
      <w:r w:rsidRPr="000C71E6">
        <w:rPr>
          <w:rFonts w:ascii="Times New Roman" w:hAnsi="Times New Roman" w:cs="Times New Roman"/>
          <w:b/>
          <w:sz w:val="24"/>
          <w:szCs w:val="24"/>
        </w:rPr>
        <w:t>Table</w:t>
      </w:r>
      <w:r w:rsidR="005819C3">
        <w:rPr>
          <w:rFonts w:ascii="Times New Roman" w:hAnsi="Times New Roman" w:cs="Times New Roman"/>
          <w:b/>
          <w:sz w:val="24"/>
          <w:szCs w:val="24"/>
        </w:rPr>
        <w:t>au</w:t>
      </w:r>
      <w:r w:rsidRPr="000C71E6">
        <w:rPr>
          <w:rFonts w:ascii="Times New Roman" w:hAnsi="Times New Roman" w:cs="Times New Roman"/>
          <w:b/>
          <w:sz w:val="24"/>
          <w:szCs w:val="24"/>
        </w:rPr>
        <w:t xml:space="preserve"> 5 : </w:t>
      </w:r>
      <w:r w:rsidR="00ED273D" w:rsidRPr="000C71E6">
        <w:rPr>
          <w:rFonts w:ascii="Times New Roman" w:hAnsi="Times New Roman" w:cs="Times New Roman"/>
          <w:b/>
          <w:sz w:val="24"/>
          <w:szCs w:val="24"/>
        </w:rPr>
        <w:t>Résultat de l’estimation du modèle</w:t>
      </w:r>
    </w:p>
    <w:tbl>
      <w:tblPr>
        <w:tblStyle w:val="Grilledutableau"/>
        <w:tblW w:w="0" w:type="auto"/>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268"/>
        <w:gridCol w:w="2126"/>
      </w:tblGrid>
      <w:tr w:rsidR="00C20228" w:rsidRPr="005D76AB" w:rsidTr="00BB10E9">
        <w:trPr>
          <w:trHeight w:val="170"/>
        </w:trPr>
        <w:tc>
          <w:tcPr>
            <w:tcW w:w="1985" w:type="dxa"/>
            <w:tcBorders>
              <w:top w:val="double" w:sz="4" w:space="0" w:color="auto"/>
              <w:bottom w:val="double" w:sz="4" w:space="0" w:color="auto"/>
            </w:tcBorders>
            <w:vAlign w:val="center"/>
          </w:tcPr>
          <w:p w:rsidR="00C20228" w:rsidRPr="005D76AB" w:rsidRDefault="00C20228" w:rsidP="00077FF3">
            <w:pPr>
              <w:rPr>
                <w:rFonts w:ascii="Times New Roman" w:hAnsi="Times New Roman" w:cs="Times New Roman"/>
              </w:rPr>
            </w:pPr>
            <w:r w:rsidRPr="005D76AB">
              <w:rPr>
                <w:rFonts w:ascii="Times New Roman" w:hAnsi="Times New Roman" w:cs="Times New Roman"/>
              </w:rPr>
              <w:t>Variables</w:t>
            </w:r>
          </w:p>
        </w:tc>
        <w:tc>
          <w:tcPr>
            <w:tcW w:w="2268" w:type="dxa"/>
            <w:tcBorders>
              <w:top w:val="double" w:sz="4" w:space="0" w:color="auto"/>
              <w:bottom w:val="double" w:sz="4" w:space="0" w:color="auto"/>
            </w:tcBorders>
            <w:vAlign w:val="center"/>
          </w:tcPr>
          <w:p w:rsidR="00C20228" w:rsidRPr="005D76AB" w:rsidRDefault="00C20228" w:rsidP="00077FF3">
            <w:pPr>
              <w:jc w:val="right"/>
              <w:rPr>
                <w:rFonts w:ascii="Times New Roman" w:hAnsi="Times New Roman" w:cs="Times New Roman"/>
              </w:rPr>
            </w:pPr>
            <w:r w:rsidRPr="005D76AB">
              <w:rPr>
                <w:rFonts w:ascii="Times New Roman" w:hAnsi="Times New Roman" w:cs="Times New Roman"/>
              </w:rPr>
              <w:t>Estimation sans subvention MCA</w:t>
            </w:r>
          </w:p>
        </w:tc>
        <w:tc>
          <w:tcPr>
            <w:tcW w:w="2126" w:type="dxa"/>
            <w:tcBorders>
              <w:top w:val="double" w:sz="4" w:space="0" w:color="auto"/>
              <w:bottom w:val="double" w:sz="4" w:space="0" w:color="auto"/>
            </w:tcBorders>
            <w:vAlign w:val="center"/>
          </w:tcPr>
          <w:p w:rsidR="00C20228" w:rsidRPr="005D76AB" w:rsidRDefault="00C20228" w:rsidP="00077FF3">
            <w:pPr>
              <w:jc w:val="right"/>
              <w:rPr>
                <w:rFonts w:ascii="Times New Roman" w:hAnsi="Times New Roman" w:cs="Times New Roman"/>
              </w:rPr>
            </w:pPr>
            <w:r w:rsidRPr="005D76AB">
              <w:rPr>
                <w:rFonts w:ascii="Times New Roman" w:hAnsi="Times New Roman" w:cs="Times New Roman"/>
              </w:rPr>
              <w:t>Estimation avec subvention MCA</w:t>
            </w:r>
          </w:p>
        </w:tc>
      </w:tr>
      <w:tr w:rsidR="00C20228" w:rsidRPr="005D76AB" w:rsidTr="00BB10E9">
        <w:trPr>
          <w:trHeight w:val="170"/>
        </w:trPr>
        <w:tc>
          <w:tcPr>
            <w:tcW w:w="1985" w:type="dxa"/>
            <w:tcBorders>
              <w:top w:val="double" w:sz="4" w:space="0" w:color="auto"/>
            </w:tcBorders>
          </w:tcPr>
          <w:p w:rsidR="00C20228" w:rsidRPr="005D76AB" w:rsidRDefault="00A4353D" w:rsidP="00C47866">
            <w:pPr>
              <w:rPr>
                <w:rFonts w:ascii="Times New Roman" w:hAnsi="Times New Roman" w:cs="Times New Roman"/>
                <w:i/>
              </w:rPr>
            </w:pPr>
            <m:oMathPara>
              <m:oMathParaPr>
                <m:jc m:val="left"/>
              </m:oMathParaPr>
              <m:oMath>
                <m:sSub>
                  <m:sSubPr>
                    <m:ctrlPr>
                      <w:rPr>
                        <w:rFonts w:ascii="Cambria Math" w:eastAsia="Calibri" w:hAnsi="Cambria Math" w:cs="Times New Roman"/>
                        <w:i/>
                      </w:rPr>
                    </m:ctrlPr>
                  </m:sSubPr>
                  <m:e>
                    <m:r>
                      <w:rPr>
                        <w:rFonts w:ascii="Cambria Math" w:eastAsia="Calibri" w:hAnsi="Cambria Math" w:cs="Times New Roman"/>
                      </w:rPr>
                      <m:t>lnPib</m:t>
                    </m:r>
                  </m:e>
                  <m:sub>
                    <m:r>
                      <w:rPr>
                        <w:rFonts w:ascii="Cambria Math" w:eastAsia="Calibri" w:hAnsi="Cambria Math" w:cs="Times New Roman"/>
                      </w:rPr>
                      <m:t>t</m:t>
                    </m:r>
                  </m:sub>
                </m:sSub>
              </m:oMath>
            </m:oMathPara>
          </w:p>
        </w:tc>
        <w:tc>
          <w:tcPr>
            <w:tcW w:w="2268" w:type="dxa"/>
            <w:tcBorders>
              <w:top w:val="double" w:sz="4" w:space="0" w:color="auto"/>
            </w:tcBorders>
            <w:vAlign w:val="center"/>
          </w:tcPr>
          <w:p w:rsidR="00C20228" w:rsidRPr="005D76AB" w:rsidRDefault="00E902A4" w:rsidP="00077FF3">
            <w:pPr>
              <w:jc w:val="right"/>
              <w:rPr>
                <w:rFonts w:ascii="Times New Roman" w:hAnsi="Times New Roman" w:cs="Times New Roman"/>
              </w:rPr>
            </w:pPr>
            <w:r w:rsidRPr="005D76AB">
              <w:rPr>
                <w:rFonts w:ascii="Times New Roman" w:hAnsi="Times New Roman" w:cs="Times New Roman"/>
              </w:rPr>
              <w:t>0</w:t>
            </w:r>
            <w:r w:rsidR="006A2649" w:rsidRPr="005D76AB">
              <w:rPr>
                <w:rFonts w:ascii="Times New Roman" w:hAnsi="Times New Roman" w:cs="Times New Roman"/>
              </w:rPr>
              <w:t>.928</w:t>
            </w:r>
            <w:r w:rsidR="004C388A" w:rsidRPr="005D76AB">
              <w:rPr>
                <w:rFonts w:ascii="Times New Roman" w:hAnsi="Times New Roman" w:cs="Times New Roman"/>
              </w:rPr>
              <w:t>***</w:t>
            </w:r>
          </w:p>
          <w:p w:rsidR="00E902A4" w:rsidRPr="005D76AB" w:rsidRDefault="00E902A4" w:rsidP="005E0E77">
            <w:pPr>
              <w:jc w:val="right"/>
              <w:rPr>
                <w:rFonts w:ascii="Times New Roman" w:hAnsi="Times New Roman" w:cs="Times New Roman"/>
              </w:rPr>
            </w:pPr>
            <w:r w:rsidRPr="005D76AB">
              <w:rPr>
                <w:rFonts w:ascii="Times New Roman" w:hAnsi="Times New Roman" w:cs="Times New Roman"/>
              </w:rPr>
              <w:t>(10.63)</w:t>
            </w:r>
          </w:p>
        </w:tc>
        <w:tc>
          <w:tcPr>
            <w:tcW w:w="2126" w:type="dxa"/>
            <w:tcBorders>
              <w:top w:val="double" w:sz="4" w:space="0" w:color="auto"/>
            </w:tcBorders>
            <w:vAlign w:val="center"/>
          </w:tcPr>
          <w:p w:rsidR="00ED273D" w:rsidRPr="005D76AB" w:rsidRDefault="007B6102" w:rsidP="00077FF3">
            <w:pPr>
              <w:jc w:val="right"/>
              <w:rPr>
                <w:rFonts w:ascii="Times New Roman" w:hAnsi="Times New Roman" w:cs="Times New Roman"/>
              </w:rPr>
            </w:pPr>
            <w:r w:rsidRPr="005D76AB">
              <w:rPr>
                <w:rFonts w:ascii="Times New Roman" w:hAnsi="Times New Roman" w:cs="Times New Roman"/>
              </w:rPr>
              <w:t>1.002</w:t>
            </w:r>
            <w:r w:rsidR="004C388A" w:rsidRPr="005D76AB">
              <w:rPr>
                <w:rFonts w:ascii="Times New Roman" w:hAnsi="Times New Roman" w:cs="Times New Roman"/>
              </w:rPr>
              <w:t>***</w:t>
            </w:r>
          </w:p>
          <w:p w:rsidR="00C20228" w:rsidRPr="005D76AB" w:rsidRDefault="00ED273D" w:rsidP="00077FF3">
            <w:pPr>
              <w:jc w:val="right"/>
              <w:rPr>
                <w:rFonts w:ascii="Times New Roman" w:hAnsi="Times New Roman" w:cs="Times New Roman"/>
              </w:rPr>
            </w:pPr>
            <w:r w:rsidRPr="005D76AB">
              <w:rPr>
                <w:rFonts w:ascii="Times New Roman" w:hAnsi="Times New Roman" w:cs="Times New Roman"/>
              </w:rPr>
              <w:t>(11.40)</w:t>
            </w:r>
          </w:p>
        </w:tc>
      </w:tr>
      <w:tr w:rsidR="00C47866" w:rsidRPr="005D76AB" w:rsidTr="00BB10E9">
        <w:trPr>
          <w:trHeight w:val="170"/>
        </w:trPr>
        <w:tc>
          <w:tcPr>
            <w:tcW w:w="1985" w:type="dxa"/>
          </w:tcPr>
          <w:p w:rsidR="00C47866" w:rsidRPr="005D76AB" w:rsidRDefault="00C47866" w:rsidP="00C47866">
            <w:pPr>
              <w:rPr>
                <w:rFonts w:ascii="Times New Roman" w:eastAsia="Times New Roman" w:hAnsi="Times New Roman" w:cs="Times New Roman"/>
              </w:rPr>
            </w:pPr>
          </w:p>
        </w:tc>
        <w:tc>
          <w:tcPr>
            <w:tcW w:w="2268" w:type="dxa"/>
            <w:vAlign w:val="center"/>
          </w:tcPr>
          <w:p w:rsidR="00C47866" w:rsidRPr="005D76AB" w:rsidRDefault="00C47866" w:rsidP="00077FF3">
            <w:pPr>
              <w:jc w:val="right"/>
              <w:rPr>
                <w:rFonts w:ascii="Times New Roman" w:hAnsi="Times New Roman" w:cs="Times New Roman"/>
              </w:rPr>
            </w:pPr>
          </w:p>
        </w:tc>
        <w:tc>
          <w:tcPr>
            <w:tcW w:w="2126" w:type="dxa"/>
            <w:vAlign w:val="center"/>
          </w:tcPr>
          <w:p w:rsidR="00C47866" w:rsidRPr="005D76AB" w:rsidRDefault="00C47866" w:rsidP="00077FF3">
            <w:pPr>
              <w:jc w:val="right"/>
              <w:rPr>
                <w:rFonts w:ascii="Times New Roman" w:hAnsi="Times New Roman" w:cs="Times New Roman"/>
              </w:rPr>
            </w:pPr>
          </w:p>
        </w:tc>
      </w:tr>
      <w:tr w:rsidR="00C20228" w:rsidRPr="005D76AB" w:rsidTr="00BB10E9">
        <w:trPr>
          <w:trHeight w:val="170"/>
        </w:trPr>
        <w:tc>
          <w:tcPr>
            <w:tcW w:w="1985" w:type="dxa"/>
          </w:tcPr>
          <w:p w:rsidR="00C20228" w:rsidRPr="005D76AB" w:rsidRDefault="00A4353D" w:rsidP="00C47866">
            <w:pPr>
              <w:rPr>
                <w:rFonts w:ascii="Times New Roman" w:hAnsi="Times New Roman" w:cs="Times New Roman"/>
                <w:i/>
              </w:rPr>
            </w:pPr>
            <m:oMathPara>
              <m:oMathParaPr>
                <m:jc m:val="left"/>
              </m:oMathParaPr>
              <m:oMath>
                <m:sSub>
                  <m:sSubPr>
                    <m:ctrlPr>
                      <w:rPr>
                        <w:rFonts w:ascii="Cambria Math" w:eastAsia="Calibri" w:hAnsi="Cambria Math" w:cs="Times New Roman"/>
                        <w:i/>
                      </w:rPr>
                    </m:ctrlPr>
                  </m:sSubPr>
                  <m:e>
                    <m:r>
                      <w:rPr>
                        <w:rFonts w:ascii="Cambria Math" w:eastAsia="Calibri" w:hAnsi="Cambria Math" w:cs="Times New Roman"/>
                      </w:rPr>
                      <m:t>lnAfT_NMCA</m:t>
                    </m:r>
                  </m:e>
                  <m:sub>
                    <m:r>
                      <w:rPr>
                        <w:rFonts w:ascii="Cambria Math" w:eastAsia="Calibri" w:hAnsi="Cambria Math" w:cs="Times New Roman"/>
                      </w:rPr>
                      <m:t>t-1</m:t>
                    </m:r>
                  </m:sub>
                </m:sSub>
              </m:oMath>
            </m:oMathPara>
          </w:p>
        </w:tc>
        <w:tc>
          <w:tcPr>
            <w:tcW w:w="2268" w:type="dxa"/>
            <w:vAlign w:val="center"/>
          </w:tcPr>
          <w:p w:rsidR="00E902A4" w:rsidRPr="005D76AB" w:rsidRDefault="00E902A4" w:rsidP="00077FF3">
            <w:pPr>
              <w:jc w:val="right"/>
              <w:rPr>
                <w:rFonts w:ascii="Times New Roman" w:hAnsi="Times New Roman" w:cs="Times New Roman"/>
              </w:rPr>
            </w:pPr>
            <w:r w:rsidRPr="005D76AB">
              <w:rPr>
                <w:rFonts w:ascii="Times New Roman" w:hAnsi="Times New Roman" w:cs="Times New Roman"/>
              </w:rPr>
              <w:t>0.</w:t>
            </w:r>
            <w:r w:rsidR="006A2649" w:rsidRPr="005D76AB">
              <w:rPr>
                <w:rFonts w:ascii="Times New Roman" w:hAnsi="Times New Roman" w:cs="Times New Roman"/>
              </w:rPr>
              <w:t>039</w:t>
            </w:r>
            <w:r w:rsidR="009D0877" w:rsidRPr="005D76AB">
              <w:rPr>
                <w:rFonts w:ascii="Times New Roman" w:hAnsi="Times New Roman" w:cs="Times New Roman"/>
              </w:rPr>
              <w:t>**</w:t>
            </w:r>
          </w:p>
          <w:p w:rsidR="00C20228" w:rsidRPr="005D76AB" w:rsidRDefault="006D06F8" w:rsidP="009D0877">
            <w:pPr>
              <w:jc w:val="right"/>
              <w:rPr>
                <w:rFonts w:ascii="Times New Roman" w:hAnsi="Times New Roman" w:cs="Times New Roman"/>
              </w:rPr>
            </w:pPr>
            <w:r w:rsidRPr="005D76AB">
              <w:rPr>
                <w:rFonts w:ascii="Times New Roman" w:hAnsi="Times New Roman" w:cs="Times New Roman"/>
              </w:rPr>
              <w:t>(</w:t>
            </w:r>
            <w:r w:rsidR="009D0877" w:rsidRPr="005D76AB">
              <w:rPr>
                <w:rFonts w:ascii="Times New Roman" w:hAnsi="Times New Roman" w:cs="Times New Roman"/>
              </w:rPr>
              <w:t>2</w:t>
            </w:r>
            <w:r w:rsidRPr="005D76AB">
              <w:rPr>
                <w:rFonts w:ascii="Times New Roman" w:hAnsi="Times New Roman" w:cs="Times New Roman"/>
              </w:rPr>
              <w:t>.06)</w:t>
            </w:r>
          </w:p>
        </w:tc>
        <w:tc>
          <w:tcPr>
            <w:tcW w:w="2126" w:type="dxa"/>
            <w:vAlign w:val="center"/>
          </w:tcPr>
          <w:p w:rsidR="00ED273D" w:rsidRPr="005D76AB" w:rsidRDefault="00ED273D" w:rsidP="005E0E77">
            <w:pPr>
              <w:jc w:val="right"/>
              <w:rPr>
                <w:rFonts w:ascii="Times New Roman" w:hAnsi="Times New Roman" w:cs="Times New Roman"/>
              </w:rPr>
            </w:pPr>
          </w:p>
        </w:tc>
      </w:tr>
      <w:tr w:rsidR="00C47866" w:rsidRPr="005D76AB" w:rsidTr="00BB10E9">
        <w:trPr>
          <w:trHeight w:val="170"/>
        </w:trPr>
        <w:tc>
          <w:tcPr>
            <w:tcW w:w="1985" w:type="dxa"/>
          </w:tcPr>
          <w:p w:rsidR="00C47866" w:rsidRPr="005D76AB" w:rsidRDefault="00C47866" w:rsidP="00C47866">
            <w:pPr>
              <w:rPr>
                <w:rFonts w:ascii="Times New Roman" w:eastAsia="Times New Roman" w:hAnsi="Times New Roman" w:cs="Times New Roman"/>
              </w:rPr>
            </w:pPr>
          </w:p>
        </w:tc>
        <w:tc>
          <w:tcPr>
            <w:tcW w:w="2268" w:type="dxa"/>
            <w:vAlign w:val="center"/>
          </w:tcPr>
          <w:p w:rsidR="00C47866" w:rsidRPr="005D76AB" w:rsidRDefault="00C47866" w:rsidP="00077FF3">
            <w:pPr>
              <w:jc w:val="right"/>
              <w:rPr>
                <w:rFonts w:ascii="Times New Roman" w:hAnsi="Times New Roman" w:cs="Times New Roman"/>
              </w:rPr>
            </w:pPr>
          </w:p>
        </w:tc>
        <w:tc>
          <w:tcPr>
            <w:tcW w:w="2126" w:type="dxa"/>
            <w:vAlign w:val="center"/>
          </w:tcPr>
          <w:p w:rsidR="00C47866" w:rsidRPr="005D76AB" w:rsidRDefault="00C47866" w:rsidP="00077FF3">
            <w:pPr>
              <w:jc w:val="right"/>
              <w:rPr>
                <w:rFonts w:ascii="Times New Roman" w:hAnsi="Times New Roman" w:cs="Times New Roman"/>
              </w:rPr>
            </w:pPr>
          </w:p>
        </w:tc>
      </w:tr>
      <w:tr w:rsidR="00CE44D8" w:rsidRPr="005D76AB" w:rsidTr="00BB10E9">
        <w:trPr>
          <w:trHeight w:val="170"/>
        </w:trPr>
        <w:tc>
          <w:tcPr>
            <w:tcW w:w="1985" w:type="dxa"/>
          </w:tcPr>
          <w:p w:rsidR="00CE44D8" w:rsidRPr="005D76AB" w:rsidRDefault="00A4353D" w:rsidP="00C47866">
            <w:pPr>
              <w:rPr>
                <w:rFonts w:ascii="Times New Roman" w:eastAsia="Times New Roman" w:hAnsi="Times New Roman" w:cs="Times New Roman"/>
                <w:i/>
              </w:rPr>
            </w:pPr>
            <m:oMathPara>
              <m:oMathParaPr>
                <m:jc m:val="left"/>
              </m:oMathParaPr>
              <m:oMath>
                <m:sSubSup>
                  <m:sSubSupPr>
                    <m:ctrlPr>
                      <w:rPr>
                        <w:rFonts w:ascii="Cambria Math" w:eastAsia="Calibri" w:hAnsi="Cambria Math" w:cs="Times New Roman"/>
                        <w:i/>
                      </w:rPr>
                    </m:ctrlPr>
                  </m:sSubSupPr>
                  <m:e>
                    <m:r>
                      <w:rPr>
                        <w:rFonts w:ascii="Cambria Math" w:eastAsia="Calibri" w:hAnsi="Cambria Math" w:cs="Times New Roman"/>
                      </w:rPr>
                      <m:t>lnAfT_NMCA</m:t>
                    </m:r>
                  </m:e>
                  <m:sub>
                    <m:r>
                      <w:rPr>
                        <w:rFonts w:ascii="Cambria Math" w:eastAsia="Calibri" w:hAnsi="Cambria Math" w:cs="Times New Roman"/>
                      </w:rPr>
                      <m:t>t-1</m:t>
                    </m:r>
                  </m:sub>
                  <m:sup>
                    <m:r>
                      <w:rPr>
                        <w:rFonts w:ascii="Cambria Math" w:eastAsia="Calibri" w:hAnsi="Cambria Math" w:cs="Times New Roman"/>
                      </w:rPr>
                      <m:t>2</m:t>
                    </m:r>
                  </m:sup>
                </m:sSubSup>
              </m:oMath>
            </m:oMathPara>
          </w:p>
        </w:tc>
        <w:tc>
          <w:tcPr>
            <w:tcW w:w="2268" w:type="dxa"/>
            <w:vAlign w:val="center"/>
          </w:tcPr>
          <w:p w:rsidR="006D06F8" w:rsidRPr="005D76AB" w:rsidRDefault="001A6A5B" w:rsidP="00077FF3">
            <w:pPr>
              <w:jc w:val="right"/>
              <w:rPr>
                <w:rFonts w:ascii="Times New Roman" w:hAnsi="Times New Roman" w:cs="Times New Roman"/>
              </w:rPr>
            </w:pPr>
            <w:r w:rsidRPr="005D76AB">
              <w:rPr>
                <w:rFonts w:ascii="Times New Roman" w:hAnsi="Times New Roman" w:cs="Times New Roman"/>
              </w:rPr>
              <w:t>0</w:t>
            </w:r>
            <w:r w:rsidR="006A2649" w:rsidRPr="005D76AB">
              <w:rPr>
                <w:rFonts w:ascii="Times New Roman" w:hAnsi="Times New Roman" w:cs="Times New Roman"/>
              </w:rPr>
              <w:t>.015</w:t>
            </w:r>
          </w:p>
          <w:p w:rsidR="00CE44D8" w:rsidRPr="005D76AB" w:rsidRDefault="006D06F8" w:rsidP="00077FF3">
            <w:pPr>
              <w:jc w:val="right"/>
              <w:rPr>
                <w:rFonts w:ascii="Times New Roman" w:hAnsi="Times New Roman" w:cs="Times New Roman"/>
              </w:rPr>
            </w:pPr>
            <w:r w:rsidRPr="005D76AB">
              <w:rPr>
                <w:rFonts w:ascii="Times New Roman" w:hAnsi="Times New Roman" w:cs="Times New Roman"/>
              </w:rPr>
              <w:t>(0.09)</w:t>
            </w:r>
          </w:p>
        </w:tc>
        <w:tc>
          <w:tcPr>
            <w:tcW w:w="2126" w:type="dxa"/>
            <w:vAlign w:val="center"/>
          </w:tcPr>
          <w:p w:rsidR="00ED273D" w:rsidRPr="005D76AB" w:rsidRDefault="00ED273D" w:rsidP="005E0E77">
            <w:pPr>
              <w:jc w:val="right"/>
              <w:rPr>
                <w:rFonts w:ascii="Times New Roman" w:hAnsi="Times New Roman" w:cs="Times New Roman"/>
              </w:rPr>
            </w:pPr>
          </w:p>
        </w:tc>
      </w:tr>
      <w:tr w:rsidR="00C47866" w:rsidRPr="005D76AB" w:rsidTr="00BB10E9">
        <w:trPr>
          <w:trHeight w:val="170"/>
        </w:trPr>
        <w:tc>
          <w:tcPr>
            <w:tcW w:w="1985" w:type="dxa"/>
          </w:tcPr>
          <w:p w:rsidR="00C47866" w:rsidRPr="005D76AB" w:rsidRDefault="00C47866" w:rsidP="00C47866">
            <w:pPr>
              <w:rPr>
                <w:rFonts w:ascii="Times New Roman" w:eastAsia="Times New Roman" w:hAnsi="Times New Roman" w:cs="Times New Roman"/>
              </w:rPr>
            </w:pPr>
          </w:p>
        </w:tc>
        <w:tc>
          <w:tcPr>
            <w:tcW w:w="2268" w:type="dxa"/>
            <w:vAlign w:val="center"/>
          </w:tcPr>
          <w:p w:rsidR="00C47866" w:rsidRPr="005D76AB" w:rsidRDefault="00C47866" w:rsidP="00077FF3">
            <w:pPr>
              <w:jc w:val="right"/>
              <w:rPr>
                <w:rFonts w:ascii="Times New Roman" w:hAnsi="Times New Roman" w:cs="Times New Roman"/>
              </w:rPr>
            </w:pPr>
          </w:p>
        </w:tc>
        <w:tc>
          <w:tcPr>
            <w:tcW w:w="2126" w:type="dxa"/>
            <w:vAlign w:val="center"/>
          </w:tcPr>
          <w:p w:rsidR="00C47866" w:rsidRPr="005D76AB" w:rsidRDefault="00C47866" w:rsidP="00077FF3">
            <w:pPr>
              <w:jc w:val="right"/>
              <w:rPr>
                <w:rFonts w:ascii="Times New Roman" w:hAnsi="Times New Roman" w:cs="Times New Roman"/>
              </w:rPr>
            </w:pPr>
          </w:p>
        </w:tc>
      </w:tr>
      <w:tr w:rsidR="00CE44D8" w:rsidRPr="005D76AB" w:rsidTr="00BB10E9">
        <w:trPr>
          <w:trHeight w:val="170"/>
        </w:trPr>
        <w:tc>
          <w:tcPr>
            <w:tcW w:w="1985" w:type="dxa"/>
          </w:tcPr>
          <w:p w:rsidR="00CE44D8" w:rsidRPr="005D76AB" w:rsidRDefault="00CB089C" w:rsidP="00C47866">
            <w:pPr>
              <w:rPr>
                <w:rFonts w:ascii="Times New Roman" w:hAnsi="Times New Roman" w:cs="Times New Roman"/>
                <w:i/>
              </w:rPr>
            </w:pPr>
            <m:oMathPara>
              <m:oMathParaPr>
                <m:jc m:val="left"/>
              </m:oMathParaPr>
              <m:oMath>
                <m:r>
                  <w:rPr>
                    <w:rFonts w:ascii="Cambria Math" w:eastAsia="Calibri" w:hAnsi="Cambria Math" w:cs="Times New Roman"/>
                  </w:rPr>
                  <m:t>MCA</m:t>
                </m:r>
              </m:oMath>
            </m:oMathPara>
          </w:p>
        </w:tc>
        <w:tc>
          <w:tcPr>
            <w:tcW w:w="2268" w:type="dxa"/>
            <w:vAlign w:val="center"/>
          </w:tcPr>
          <w:p w:rsidR="00CE44D8" w:rsidRPr="005D76AB" w:rsidRDefault="00CE44D8" w:rsidP="00077FF3">
            <w:pPr>
              <w:jc w:val="right"/>
              <w:rPr>
                <w:rFonts w:ascii="Times New Roman" w:hAnsi="Times New Roman" w:cs="Times New Roman"/>
              </w:rPr>
            </w:pPr>
          </w:p>
        </w:tc>
        <w:tc>
          <w:tcPr>
            <w:tcW w:w="2126" w:type="dxa"/>
            <w:vAlign w:val="center"/>
          </w:tcPr>
          <w:p w:rsidR="00CE44D8" w:rsidRPr="005D76AB" w:rsidRDefault="001A6A5B" w:rsidP="00077FF3">
            <w:pPr>
              <w:jc w:val="right"/>
              <w:rPr>
                <w:rFonts w:ascii="Times New Roman" w:hAnsi="Times New Roman" w:cs="Times New Roman"/>
              </w:rPr>
            </w:pPr>
            <w:r w:rsidRPr="005D76AB">
              <w:rPr>
                <w:rFonts w:ascii="Times New Roman" w:hAnsi="Times New Roman" w:cs="Times New Roman"/>
              </w:rPr>
              <w:t>0</w:t>
            </w:r>
            <w:r w:rsidR="00C47866" w:rsidRPr="005D76AB">
              <w:rPr>
                <w:rFonts w:ascii="Times New Roman" w:hAnsi="Times New Roman" w:cs="Times New Roman"/>
              </w:rPr>
              <w:t>.123</w:t>
            </w:r>
            <w:r w:rsidR="004C388A" w:rsidRPr="005D76AB">
              <w:rPr>
                <w:rFonts w:ascii="Times New Roman" w:hAnsi="Times New Roman" w:cs="Times New Roman"/>
              </w:rPr>
              <w:t>***</w:t>
            </w:r>
          </w:p>
          <w:p w:rsidR="00ED273D" w:rsidRPr="005D76AB" w:rsidRDefault="00ED273D" w:rsidP="005E0E77">
            <w:pPr>
              <w:jc w:val="right"/>
              <w:rPr>
                <w:rFonts w:ascii="Times New Roman" w:hAnsi="Times New Roman" w:cs="Times New Roman"/>
              </w:rPr>
            </w:pPr>
            <w:r w:rsidRPr="005D76AB">
              <w:rPr>
                <w:rFonts w:ascii="Times New Roman" w:hAnsi="Times New Roman" w:cs="Times New Roman"/>
              </w:rPr>
              <w:t>(</w:t>
            </w:r>
            <w:r w:rsidR="005E0E77" w:rsidRPr="005D76AB">
              <w:rPr>
                <w:rFonts w:ascii="Times New Roman" w:hAnsi="Times New Roman" w:cs="Times New Roman"/>
              </w:rPr>
              <w:t>5</w:t>
            </w:r>
            <w:r w:rsidRPr="005D76AB">
              <w:rPr>
                <w:rFonts w:ascii="Times New Roman" w:hAnsi="Times New Roman" w:cs="Times New Roman"/>
              </w:rPr>
              <w:t>.</w:t>
            </w:r>
            <w:r w:rsidR="005E0E77" w:rsidRPr="005D76AB">
              <w:rPr>
                <w:rFonts w:ascii="Times New Roman" w:hAnsi="Times New Roman" w:cs="Times New Roman"/>
              </w:rPr>
              <w:t>03</w:t>
            </w:r>
            <w:r w:rsidRPr="005D76AB">
              <w:rPr>
                <w:rFonts w:ascii="Times New Roman" w:hAnsi="Times New Roman" w:cs="Times New Roman"/>
              </w:rPr>
              <w:t>)</w:t>
            </w:r>
          </w:p>
        </w:tc>
      </w:tr>
      <w:tr w:rsidR="00C47866" w:rsidRPr="005D76AB" w:rsidTr="00BB10E9">
        <w:trPr>
          <w:trHeight w:val="170"/>
        </w:trPr>
        <w:tc>
          <w:tcPr>
            <w:tcW w:w="1985" w:type="dxa"/>
          </w:tcPr>
          <w:p w:rsidR="00C47866" w:rsidRPr="005D76AB" w:rsidRDefault="00C47866" w:rsidP="00C47866">
            <w:pPr>
              <w:rPr>
                <w:rFonts w:ascii="Times New Roman" w:eastAsia="Times New Roman" w:hAnsi="Times New Roman" w:cs="Times New Roman"/>
              </w:rPr>
            </w:pPr>
          </w:p>
        </w:tc>
        <w:tc>
          <w:tcPr>
            <w:tcW w:w="2268" w:type="dxa"/>
            <w:vAlign w:val="center"/>
          </w:tcPr>
          <w:p w:rsidR="00C47866" w:rsidRPr="005D76AB" w:rsidRDefault="00C47866" w:rsidP="00077FF3">
            <w:pPr>
              <w:jc w:val="right"/>
              <w:rPr>
                <w:rFonts w:ascii="Times New Roman" w:hAnsi="Times New Roman" w:cs="Times New Roman"/>
              </w:rPr>
            </w:pPr>
          </w:p>
        </w:tc>
        <w:tc>
          <w:tcPr>
            <w:tcW w:w="2126" w:type="dxa"/>
            <w:vAlign w:val="center"/>
          </w:tcPr>
          <w:p w:rsidR="00C47866" w:rsidRPr="005D76AB" w:rsidRDefault="00C47866" w:rsidP="00077FF3">
            <w:pPr>
              <w:jc w:val="right"/>
              <w:rPr>
                <w:rFonts w:ascii="Times New Roman" w:hAnsi="Times New Roman" w:cs="Times New Roman"/>
              </w:rPr>
            </w:pPr>
          </w:p>
        </w:tc>
      </w:tr>
      <w:tr w:rsidR="00CE44D8" w:rsidRPr="005D76AB" w:rsidTr="00BB10E9">
        <w:trPr>
          <w:trHeight w:val="170"/>
        </w:trPr>
        <w:tc>
          <w:tcPr>
            <w:tcW w:w="1985" w:type="dxa"/>
          </w:tcPr>
          <w:p w:rsidR="00CE44D8" w:rsidRPr="005D76AB" w:rsidRDefault="00A4353D" w:rsidP="00C47866">
            <w:pPr>
              <w:rPr>
                <w:rFonts w:ascii="Times New Roman" w:eastAsia="Times New Roman" w:hAnsi="Times New Roman" w:cs="Times New Roman"/>
                <w:i/>
              </w:rPr>
            </w:pPr>
            <m:oMathPara>
              <m:oMathParaPr>
                <m:jc m:val="left"/>
              </m:oMathParaPr>
              <m:oMath>
                <m:sSub>
                  <m:sSubPr>
                    <m:ctrlPr>
                      <w:rPr>
                        <w:rFonts w:ascii="Cambria Math" w:eastAsia="Calibri" w:hAnsi="Cambria Math" w:cs="Times New Roman"/>
                        <w:i/>
                      </w:rPr>
                    </m:ctrlPr>
                  </m:sSubPr>
                  <m:e>
                    <m:r>
                      <w:rPr>
                        <w:rFonts w:ascii="Cambria Math" w:eastAsia="Calibri" w:hAnsi="Cambria Math" w:cs="Times New Roman"/>
                      </w:rPr>
                      <m:t>lnAfT_MCA</m:t>
                    </m:r>
                  </m:e>
                  <m:sub>
                    <m:r>
                      <w:rPr>
                        <w:rFonts w:ascii="Cambria Math" w:eastAsia="Calibri" w:hAnsi="Cambria Math" w:cs="Times New Roman"/>
                      </w:rPr>
                      <m:t>t-1</m:t>
                    </m:r>
                  </m:sub>
                </m:sSub>
              </m:oMath>
            </m:oMathPara>
          </w:p>
        </w:tc>
        <w:tc>
          <w:tcPr>
            <w:tcW w:w="2268" w:type="dxa"/>
            <w:vAlign w:val="center"/>
          </w:tcPr>
          <w:p w:rsidR="00CE44D8" w:rsidRPr="005D76AB" w:rsidRDefault="00CE44D8" w:rsidP="00077FF3">
            <w:pPr>
              <w:jc w:val="right"/>
              <w:rPr>
                <w:rFonts w:ascii="Times New Roman" w:hAnsi="Times New Roman" w:cs="Times New Roman"/>
              </w:rPr>
            </w:pPr>
          </w:p>
        </w:tc>
        <w:tc>
          <w:tcPr>
            <w:tcW w:w="2126" w:type="dxa"/>
            <w:vAlign w:val="center"/>
          </w:tcPr>
          <w:p w:rsidR="00ED273D" w:rsidRPr="005D76AB" w:rsidRDefault="00C47866" w:rsidP="00077FF3">
            <w:pPr>
              <w:jc w:val="right"/>
              <w:rPr>
                <w:rFonts w:ascii="Times New Roman" w:hAnsi="Times New Roman" w:cs="Times New Roman"/>
              </w:rPr>
            </w:pPr>
            <w:r w:rsidRPr="005D76AB">
              <w:rPr>
                <w:rFonts w:ascii="Times New Roman" w:hAnsi="Times New Roman" w:cs="Times New Roman"/>
              </w:rPr>
              <w:t>1.092</w:t>
            </w:r>
            <w:r w:rsidR="004C388A" w:rsidRPr="005D76AB">
              <w:rPr>
                <w:rFonts w:ascii="Times New Roman" w:hAnsi="Times New Roman" w:cs="Times New Roman"/>
              </w:rPr>
              <w:t>***</w:t>
            </w:r>
          </w:p>
          <w:p w:rsidR="00CE44D8" w:rsidRPr="005D76AB" w:rsidRDefault="00ED273D" w:rsidP="005E0E77">
            <w:pPr>
              <w:jc w:val="right"/>
              <w:rPr>
                <w:rFonts w:ascii="Times New Roman" w:hAnsi="Times New Roman" w:cs="Times New Roman"/>
              </w:rPr>
            </w:pPr>
            <w:r w:rsidRPr="005D76AB">
              <w:rPr>
                <w:rFonts w:ascii="Times New Roman" w:hAnsi="Times New Roman" w:cs="Times New Roman"/>
              </w:rPr>
              <w:t>(</w:t>
            </w:r>
            <w:r w:rsidR="005E0E77" w:rsidRPr="005D76AB">
              <w:rPr>
                <w:rFonts w:ascii="Times New Roman" w:hAnsi="Times New Roman" w:cs="Times New Roman"/>
              </w:rPr>
              <w:t>4</w:t>
            </w:r>
            <w:r w:rsidRPr="005D76AB">
              <w:rPr>
                <w:rFonts w:ascii="Times New Roman" w:hAnsi="Times New Roman" w:cs="Times New Roman"/>
              </w:rPr>
              <w:t>.</w:t>
            </w:r>
            <w:r w:rsidR="005E0E77" w:rsidRPr="005D76AB">
              <w:rPr>
                <w:rFonts w:ascii="Times New Roman" w:hAnsi="Times New Roman" w:cs="Times New Roman"/>
              </w:rPr>
              <w:t>0</w:t>
            </w:r>
            <w:r w:rsidRPr="005D76AB">
              <w:rPr>
                <w:rFonts w:ascii="Times New Roman" w:hAnsi="Times New Roman" w:cs="Times New Roman"/>
              </w:rPr>
              <w:t>4)</w:t>
            </w:r>
          </w:p>
        </w:tc>
      </w:tr>
      <w:tr w:rsidR="001931CE" w:rsidRPr="005D76AB" w:rsidTr="00BB10E9">
        <w:trPr>
          <w:trHeight w:val="170"/>
        </w:trPr>
        <w:tc>
          <w:tcPr>
            <w:tcW w:w="1985" w:type="dxa"/>
          </w:tcPr>
          <w:p w:rsidR="001931CE" w:rsidRPr="005D76AB" w:rsidRDefault="001931CE" w:rsidP="00C47866">
            <w:pPr>
              <w:rPr>
                <w:rFonts w:ascii="Times New Roman" w:eastAsia="Times New Roman" w:hAnsi="Times New Roman" w:cs="Times New Roman"/>
              </w:rPr>
            </w:pPr>
          </w:p>
        </w:tc>
        <w:tc>
          <w:tcPr>
            <w:tcW w:w="2268" w:type="dxa"/>
            <w:vAlign w:val="center"/>
          </w:tcPr>
          <w:p w:rsidR="001931CE" w:rsidRPr="005D76AB" w:rsidRDefault="001931CE" w:rsidP="00077FF3">
            <w:pPr>
              <w:jc w:val="right"/>
              <w:rPr>
                <w:rFonts w:ascii="Times New Roman" w:hAnsi="Times New Roman" w:cs="Times New Roman"/>
              </w:rPr>
            </w:pPr>
          </w:p>
        </w:tc>
        <w:tc>
          <w:tcPr>
            <w:tcW w:w="2126" w:type="dxa"/>
            <w:vAlign w:val="center"/>
          </w:tcPr>
          <w:p w:rsidR="001931CE" w:rsidRPr="005D76AB" w:rsidRDefault="001931CE" w:rsidP="00077FF3">
            <w:pPr>
              <w:jc w:val="right"/>
              <w:rPr>
                <w:rFonts w:ascii="Times New Roman" w:hAnsi="Times New Roman" w:cs="Times New Roman"/>
              </w:rPr>
            </w:pPr>
          </w:p>
        </w:tc>
      </w:tr>
      <w:tr w:rsidR="00CE44D8" w:rsidRPr="005D76AB" w:rsidTr="00BB10E9">
        <w:trPr>
          <w:trHeight w:val="170"/>
        </w:trPr>
        <w:tc>
          <w:tcPr>
            <w:tcW w:w="1985" w:type="dxa"/>
          </w:tcPr>
          <w:p w:rsidR="00CE44D8" w:rsidRPr="005D76AB" w:rsidRDefault="00A4353D" w:rsidP="00C47866">
            <w:pPr>
              <w:rPr>
                <w:rFonts w:ascii="Times New Roman" w:eastAsia="Times New Roman" w:hAnsi="Times New Roman" w:cs="Times New Roman"/>
                <w:i/>
              </w:rPr>
            </w:pPr>
            <m:oMathPara>
              <m:oMathParaPr>
                <m:jc m:val="left"/>
              </m:oMathParaPr>
              <m:oMath>
                <m:sSubSup>
                  <m:sSubSupPr>
                    <m:ctrlPr>
                      <w:rPr>
                        <w:rFonts w:ascii="Cambria Math" w:eastAsia="Calibri" w:hAnsi="Cambria Math" w:cs="Times New Roman"/>
                        <w:i/>
                      </w:rPr>
                    </m:ctrlPr>
                  </m:sSubSupPr>
                  <m:e>
                    <m:r>
                      <w:rPr>
                        <w:rFonts w:ascii="Cambria Math" w:eastAsia="Calibri" w:hAnsi="Cambria Math" w:cs="Times New Roman"/>
                      </w:rPr>
                      <m:t>lnAfT_MCA</m:t>
                    </m:r>
                  </m:e>
                  <m:sub>
                    <m:r>
                      <w:rPr>
                        <w:rFonts w:ascii="Cambria Math" w:eastAsia="Calibri" w:hAnsi="Cambria Math" w:cs="Times New Roman"/>
                      </w:rPr>
                      <m:t>t-1</m:t>
                    </m:r>
                  </m:sub>
                  <m:sup>
                    <m:r>
                      <w:rPr>
                        <w:rFonts w:ascii="Cambria Math" w:eastAsia="Calibri" w:hAnsi="Cambria Math" w:cs="Times New Roman"/>
                      </w:rPr>
                      <m:t>2</m:t>
                    </m:r>
                  </m:sup>
                </m:sSubSup>
              </m:oMath>
            </m:oMathPara>
          </w:p>
        </w:tc>
        <w:tc>
          <w:tcPr>
            <w:tcW w:w="2268" w:type="dxa"/>
            <w:vAlign w:val="center"/>
          </w:tcPr>
          <w:p w:rsidR="00CE44D8" w:rsidRPr="005D76AB" w:rsidRDefault="00CE44D8" w:rsidP="00077FF3">
            <w:pPr>
              <w:jc w:val="right"/>
              <w:rPr>
                <w:rFonts w:ascii="Times New Roman" w:hAnsi="Times New Roman" w:cs="Times New Roman"/>
              </w:rPr>
            </w:pPr>
          </w:p>
        </w:tc>
        <w:tc>
          <w:tcPr>
            <w:tcW w:w="2126" w:type="dxa"/>
            <w:vAlign w:val="center"/>
          </w:tcPr>
          <w:p w:rsidR="00CE44D8" w:rsidRPr="005D76AB" w:rsidRDefault="001A6A5B" w:rsidP="00077FF3">
            <w:pPr>
              <w:jc w:val="right"/>
              <w:rPr>
                <w:rFonts w:ascii="Times New Roman" w:hAnsi="Times New Roman" w:cs="Times New Roman"/>
              </w:rPr>
            </w:pPr>
            <w:r w:rsidRPr="005D76AB">
              <w:rPr>
                <w:rFonts w:ascii="Times New Roman" w:hAnsi="Times New Roman" w:cs="Times New Roman"/>
              </w:rPr>
              <w:t>0</w:t>
            </w:r>
            <w:r w:rsidR="00C47866" w:rsidRPr="005D76AB">
              <w:rPr>
                <w:rFonts w:ascii="Times New Roman" w:hAnsi="Times New Roman" w:cs="Times New Roman"/>
              </w:rPr>
              <w:t>.216</w:t>
            </w:r>
            <w:r w:rsidR="004C388A" w:rsidRPr="005D76AB">
              <w:rPr>
                <w:rFonts w:ascii="Times New Roman" w:hAnsi="Times New Roman" w:cs="Times New Roman"/>
              </w:rPr>
              <w:t>*</w:t>
            </w:r>
          </w:p>
          <w:p w:rsidR="00ED273D" w:rsidRPr="005D76AB" w:rsidRDefault="00ED273D" w:rsidP="005279E9">
            <w:pPr>
              <w:jc w:val="right"/>
              <w:rPr>
                <w:rFonts w:ascii="Times New Roman" w:hAnsi="Times New Roman" w:cs="Times New Roman"/>
              </w:rPr>
            </w:pPr>
            <w:r w:rsidRPr="005D76AB">
              <w:rPr>
                <w:rFonts w:ascii="Times New Roman" w:hAnsi="Times New Roman" w:cs="Times New Roman"/>
              </w:rPr>
              <w:t>(</w:t>
            </w:r>
            <w:r w:rsidR="005279E9" w:rsidRPr="005D76AB">
              <w:rPr>
                <w:rFonts w:ascii="Times New Roman" w:hAnsi="Times New Roman" w:cs="Times New Roman"/>
              </w:rPr>
              <w:t>1</w:t>
            </w:r>
            <w:r w:rsidRPr="005D76AB">
              <w:rPr>
                <w:rFonts w:ascii="Times New Roman" w:hAnsi="Times New Roman" w:cs="Times New Roman"/>
              </w:rPr>
              <w:t>.</w:t>
            </w:r>
            <w:r w:rsidR="005279E9" w:rsidRPr="005D76AB">
              <w:rPr>
                <w:rFonts w:ascii="Times New Roman" w:hAnsi="Times New Roman" w:cs="Times New Roman"/>
              </w:rPr>
              <w:t>7</w:t>
            </w:r>
            <w:r w:rsidRPr="005D76AB">
              <w:rPr>
                <w:rFonts w:ascii="Times New Roman" w:hAnsi="Times New Roman" w:cs="Times New Roman"/>
              </w:rPr>
              <w:t>5)</w:t>
            </w:r>
          </w:p>
        </w:tc>
      </w:tr>
      <w:tr w:rsidR="00077FF3" w:rsidRPr="005D76AB" w:rsidTr="00BB10E9">
        <w:trPr>
          <w:trHeight w:val="170"/>
        </w:trPr>
        <w:tc>
          <w:tcPr>
            <w:tcW w:w="1985" w:type="dxa"/>
          </w:tcPr>
          <w:p w:rsidR="00077FF3" w:rsidRPr="005D76AB" w:rsidRDefault="00077FF3" w:rsidP="00C47866">
            <w:pPr>
              <w:rPr>
                <w:rFonts w:ascii="Times New Roman" w:eastAsia="Times New Roman" w:hAnsi="Times New Roman" w:cs="Times New Roman"/>
              </w:rPr>
            </w:pPr>
          </w:p>
        </w:tc>
        <w:tc>
          <w:tcPr>
            <w:tcW w:w="2268" w:type="dxa"/>
            <w:vAlign w:val="center"/>
          </w:tcPr>
          <w:p w:rsidR="00077FF3" w:rsidRPr="005D76AB" w:rsidRDefault="00077FF3" w:rsidP="00077FF3">
            <w:pPr>
              <w:jc w:val="right"/>
              <w:rPr>
                <w:rFonts w:ascii="Times New Roman" w:hAnsi="Times New Roman" w:cs="Times New Roman"/>
              </w:rPr>
            </w:pPr>
          </w:p>
        </w:tc>
        <w:tc>
          <w:tcPr>
            <w:tcW w:w="2126" w:type="dxa"/>
            <w:vAlign w:val="center"/>
          </w:tcPr>
          <w:p w:rsidR="00077FF3" w:rsidRPr="005D76AB" w:rsidRDefault="00077FF3" w:rsidP="00077FF3">
            <w:pPr>
              <w:jc w:val="right"/>
              <w:rPr>
                <w:rFonts w:ascii="Times New Roman" w:hAnsi="Times New Roman" w:cs="Times New Roman"/>
              </w:rPr>
            </w:pPr>
          </w:p>
        </w:tc>
      </w:tr>
      <w:tr w:rsidR="00CE44D8" w:rsidRPr="005D76AB" w:rsidTr="00BB10E9">
        <w:trPr>
          <w:trHeight w:val="170"/>
        </w:trPr>
        <w:tc>
          <w:tcPr>
            <w:tcW w:w="1985" w:type="dxa"/>
          </w:tcPr>
          <w:p w:rsidR="00CE44D8" w:rsidRPr="005D76AB" w:rsidRDefault="00A4353D" w:rsidP="00C47866">
            <w:pPr>
              <w:rPr>
                <w:rFonts w:ascii="Times New Roman" w:hAnsi="Times New Roman" w:cs="Times New Roman"/>
                <w:i/>
              </w:rPr>
            </w:pPr>
            <m:oMathPara>
              <m:oMathParaPr>
                <m:jc m:val="left"/>
              </m:oMathParaPr>
              <m:oMath>
                <m:sSub>
                  <m:sSubPr>
                    <m:ctrlPr>
                      <w:rPr>
                        <w:rFonts w:ascii="Cambria Math" w:eastAsia="Calibri" w:hAnsi="Cambria Math" w:cs="Times New Roman"/>
                        <w:i/>
                      </w:rPr>
                    </m:ctrlPr>
                  </m:sSubPr>
                  <m:e>
                    <m:r>
                      <w:rPr>
                        <w:rFonts w:ascii="Cambria Math" w:eastAsia="Calibri" w:hAnsi="Cambria Math" w:cs="Times New Roman"/>
                      </w:rPr>
                      <m:t>lnTime_to_M</m:t>
                    </m:r>
                  </m:e>
                  <m:sub>
                    <m:r>
                      <w:rPr>
                        <w:rFonts w:ascii="Cambria Math" w:eastAsia="Calibri" w:hAnsi="Cambria Math" w:cs="Times New Roman"/>
                      </w:rPr>
                      <m:t>t</m:t>
                    </m:r>
                  </m:sub>
                </m:sSub>
              </m:oMath>
            </m:oMathPara>
          </w:p>
        </w:tc>
        <w:tc>
          <w:tcPr>
            <w:tcW w:w="2268" w:type="dxa"/>
            <w:vAlign w:val="center"/>
          </w:tcPr>
          <w:p w:rsidR="006D06F8" w:rsidRPr="005D76AB" w:rsidRDefault="00E902A4" w:rsidP="00077FF3">
            <w:pPr>
              <w:jc w:val="right"/>
              <w:rPr>
                <w:rFonts w:ascii="Times New Roman" w:hAnsi="Times New Roman" w:cs="Times New Roman"/>
              </w:rPr>
            </w:pPr>
            <w:r w:rsidRPr="005D76AB">
              <w:rPr>
                <w:rFonts w:ascii="Times New Roman" w:hAnsi="Times New Roman" w:cs="Times New Roman"/>
              </w:rPr>
              <w:t>-</w:t>
            </w:r>
            <w:r w:rsidR="001A6A5B" w:rsidRPr="005D76AB">
              <w:rPr>
                <w:rFonts w:ascii="Times New Roman" w:hAnsi="Times New Roman" w:cs="Times New Roman"/>
              </w:rPr>
              <w:t>0</w:t>
            </w:r>
            <w:r w:rsidR="006A2649" w:rsidRPr="005D76AB">
              <w:rPr>
                <w:rFonts w:ascii="Times New Roman" w:hAnsi="Times New Roman" w:cs="Times New Roman"/>
              </w:rPr>
              <w:t>.</w:t>
            </w:r>
            <w:r w:rsidR="007044DC" w:rsidRPr="005D76AB">
              <w:rPr>
                <w:rFonts w:ascii="Times New Roman" w:hAnsi="Times New Roman" w:cs="Times New Roman"/>
              </w:rPr>
              <w:t>0</w:t>
            </w:r>
            <w:r w:rsidR="006A2649" w:rsidRPr="005D76AB">
              <w:rPr>
                <w:rFonts w:ascii="Times New Roman" w:hAnsi="Times New Roman" w:cs="Times New Roman"/>
              </w:rPr>
              <w:t>9</w:t>
            </w:r>
            <w:r w:rsidR="007044DC" w:rsidRPr="005D76AB">
              <w:rPr>
                <w:rFonts w:ascii="Times New Roman" w:hAnsi="Times New Roman" w:cs="Times New Roman"/>
              </w:rPr>
              <w:t>2</w:t>
            </w:r>
          </w:p>
          <w:p w:rsidR="00CE44D8" w:rsidRPr="005D76AB" w:rsidRDefault="006D06F8" w:rsidP="00077FF3">
            <w:pPr>
              <w:jc w:val="right"/>
              <w:rPr>
                <w:rFonts w:ascii="Times New Roman" w:hAnsi="Times New Roman" w:cs="Times New Roman"/>
              </w:rPr>
            </w:pPr>
            <w:r w:rsidRPr="005D76AB">
              <w:rPr>
                <w:rFonts w:ascii="Times New Roman" w:hAnsi="Times New Roman" w:cs="Times New Roman"/>
              </w:rPr>
              <w:t>(-1.50)</w:t>
            </w:r>
          </w:p>
        </w:tc>
        <w:tc>
          <w:tcPr>
            <w:tcW w:w="2126" w:type="dxa"/>
            <w:vAlign w:val="center"/>
          </w:tcPr>
          <w:p w:rsidR="00CE44D8" w:rsidRPr="005D76AB" w:rsidRDefault="007B6102" w:rsidP="00077FF3">
            <w:pPr>
              <w:jc w:val="right"/>
              <w:rPr>
                <w:rFonts w:ascii="Times New Roman" w:hAnsi="Times New Roman" w:cs="Times New Roman"/>
              </w:rPr>
            </w:pPr>
            <w:r w:rsidRPr="005D76AB">
              <w:rPr>
                <w:rFonts w:ascii="Times New Roman" w:hAnsi="Times New Roman" w:cs="Times New Roman"/>
              </w:rPr>
              <w:t>-</w:t>
            </w:r>
            <w:r w:rsidR="001A6A5B" w:rsidRPr="005D76AB">
              <w:rPr>
                <w:rFonts w:ascii="Times New Roman" w:hAnsi="Times New Roman" w:cs="Times New Roman"/>
              </w:rPr>
              <w:t>0</w:t>
            </w:r>
            <w:r w:rsidR="00C47866" w:rsidRPr="005D76AB">
              <w:rPr>
                <w:rFonts w:ascii="Times New Roman" w:hAnsi="Times New Roman" w:cs="Times New Roman"/>
              </w:rPr>
              <w:t>.216</w:t>
            </w:r>
            <w:r w:rsidR="004C388A" w:rsidRPr="005D76AB">
              <w:rPr>
                <w:rFonts w:ascii="Times New Roman" w:hAnsi="Times New Roman" w:cs="Times New Roman"/>
              </w:rPr>
              <w:t>**</w:t>
            </w:r>
          </w:p>
          <w:p w:rsidR="00ED273D" w:rsidRPr="005D76AB" w:rsidRDefault="00ED273D" w:rsidP="005279E9">
            <w:pPr>
              <w:jc w:val="right"/>
              <w:rPr>
                <w:rFonts w:ascii="Times New Roman" w:hAnsi="Times New Roman" w:cs="Times New Roman"/>
              </w:rPr>
            </w:pPr>
            <w:r w:rsidRPr="005D76AB">
              <w:rPr>
                <w:rFonts w:ascii="Times New Roman" w:hAnsi="Times New Roman" w:cs="Times New Roman"/>
              </w:rPr>
              <w:t>(-</w:t>
            </w:r>
            <w:r w:rsidR="005279E9" w:rsidRPr="005D76AB">
              <w:rPr>
                <w:rFonts w:ascii="Times New Roman" w:hAnsi="Times New Roman" w:cs="Times New Roman"/>
              </w:rPr>
              <w:t>2</w:t>
            </w:r>
            <w:r w:rsidRPr="005D76AB">
              <w:rPr>
                <w:rFonts w:ascii="Times New Roman" w:hAnsi="Times New Roman" w:cs="Times New Roman"/>
              </w:rPr>
              <w:t>.20)</w:t>
            </w:r>
          </w:p>
        </w:tc>
      </w:tr>
      <w:tr w:rsidR="00077FF3" w:rsidRPr="005D76AB" w:rsidTr="00BB10E9">
        <w:trPr>
          <w:trHeight w:val="170"/>
        </w:trPr>
        <w:tc>
          <w:tcPr>
            <w:tcW w:w="1985" w:type="dxa"/>
          </w:tcPr>
          <w:p w:rsidR="00077FF3" w:rsidRPr="005D76AB" w:rsidRDefault="00077FF3" w:rsidP="00C47866">
            <w:pPr>
              <w:rPr>
                <w:rFonts w:ascii="Times New Roman" w:eastAsia="Times New Roman" w:hAnsi="Times New Roman" w:cs="Times New Roman"/>
              </w:rPr>
            </w:pPr>
          </w:p>
        </w:tc>
        <w:tc>
          <w:tcPr>
            <w:tcW w:w="2268" w:type="dxa"/>
            <w:vAlign w:val="center"/>
          </w:tcPr>
          <w:p w:rsidR="00077FF3" w:rsidRPr="005D76AB" w:rsidRDefault="00077FF3" w:rsidP="00077FF3">
            <w:pPr>
              <w:jc w:val="right"/>
              <w:rPr>
                <w:rFonts w:ascii="Times New Roman" w:hAnsi="Times New Roman" w:cs="Times New Roman"/>
              </w:rPr>
            </w:pPr>
          </w:p>
        </w:tc>
        <w:tc>
          <w:tcPr>
            <w:tcW w:w="2126" w:type="dxa"/>
            <w:vAlign w:val="center"/>
          </w:tcPr>
          <w:p w:rsidR="00077FF3" w:rsidRPr="005D76AB" w:rsidRDefault="00077FF3" w:rsidP="00077FF3">
            <w:pPr>
              <w:jc w:val="right"/>
              <w:rPr>
                <w:rFonts w:ascii="Times New Roman" w:hAnsi="Times New Roman" w:cs="Times New Roman"/>
              </w:rPr>
            </w:pPr>
          </w:p>
        </w:tc>
      </w:tr>
      <w:tr w:rsidR="00CE44D8" w:rsidRPr="005D76AB" w:rsidTr="00BB10E9">
        <w:trPr>
          <w:trHeight w:val="170"/>
        </w:trPr>
        <w:tc>
          <w:tcPr>
            <w:tcW w:w="1985" w:type="dxa"/>
          </w:tcPr>
          <w:p w:rsidR="00CE44D8" w:rsidRPr="005D76AB" w:rsidRDefault="00A4353D" w:rsidP="00C47866">
            <w:pPr>
              <w:rPr>
                <w:rFonts w:ascii="Times New Roman" w:hAnsi="Times New Roman" w:cs="Times New Roman"/>
                <w:i/>
              </w:rPr>
            </w:pPr>
            <m:oMathPara>
              <m:oMathParaPr>
                <m:jc m:val="left"/>
              </m:oMathParaPr>
              <m:oMath>
                <m:sSub>
                  <m:sSubPr>
                    <m:ctrlPr>
                      <w:rPr>
                        <w:rFonts w:ascii="Cambria Math" w:eastAsia="Calibri" w:hAnsi="Cambria Math" w:cs="Times New Roman"/>
                        <w:i/>
                      </w:rPr>
                    </m:ctrlPr>
                  </m:sSubPr>
                  <m:e>
                    <m:r>
                      <w:rPr>
                        <w:rFonts w:ascii="Cambria Math" w:eastAsia="Calibri" w:hAnsi="Cambria Math" w:cs="Times New Roman"/>
                      </w:rPr>
                      <m:t>lnCost_to_M</m:t>
                    </m:r>
                  </m:e>
                  <m:sub>
                    <m:r>
                      <w:rPr>
                        <w:rFonts w:ascii="Cambria Math" w:eastAsia="Calibri" w:hAnsi="Cambria Math" w:cs="Times New Roman"/>
                      </w:rPr>
                      <m:t>t</m:t>
                    </m:r>
                  </m:sub>
                </m:sSub>
              </m:oMath>
            </m:oMathPara>
          </w:p>
        </w:tc>
        <w:tc>
          <w:tcPr>
            <w:tcW w:w="2268" w:type="dxa"/>
            <w:vAlign w:val="center"/>
          </w:tcPr>
          <w:p w:rsidR="006D06F8" w:rsidRPr="005D76AB" w:rsidRDefault="006A2649" w:rsidP="00077FF3">
            <w:pPr>
              <w:jc w:val="right"/>
              <w:rPr>
                <w:rFonts w:ascii="Times New Roman" w:hAnsi="Times New Roman" w:cs="Times New Roman"/>
              </w:rPr>
            </w:pPr>
            <w:r w:rsidRPr="005D76AB">
              <w:rPr>
                <w:rFonts w:ascii="Times New Roman" w:hAnsi="Times New Roman" w:cs="Times New Roman"/>
              </w:rPr>
              <w:t>-1.305</w:t>
            </w:r>
            <w:r w:rsidR="004C388A" w:rsidRPr="005D76AB">
              <w:rPr>
                <w:rFonts w:ascii="Times New Roman" w:hAnsi="Times New Roman" w:cs="Times New Roman"/>
              </w:rPr>
              <w:t>*</w:t>
            </w:r>
          </w:p>
          <w:p w:rsidR="00CE44D8" w:rsidRPr="005D76AB" w:rsidRDefault="006D06F8" w:rsidP="00077FF3">
            <w:pPr>
              <w:jc w:val="right"/>
              <w:rPr>
                <w:rFonts w:ascii="Times New Roman" w:hAnsi="Times New Roman" w:cs="Times New Roman"/>
              </w:rPr>
            </w:pPr>
            <w:r w:rsidRPr="005D76AB">
              <w:rPr>
                <w:rFonts w:ascii="Times New Roman" w:hAnsi="Times New Roman" w:cs="Times New Roman"/>
              </w:rPr>
              <w:t>(-1.67)</w:t>
            </w:r>
          </w:p>
        </w:tc>
        <w:tc>
          <w:tcPr>
            <w:tcW w:w="2126" w:type="dxa"/>
            <w:vAlign w:val="center"/>
          </w:tcPr>
          <w:p w:rsidR="00CE44D8" w:rsidRPr="005D76AB" w:rsidRDefault="005279E9" w:rsidP="00077FF3">
            <w:pPr>
              <w:jc w:val="right"/>
              <w:rPr>
                <w:rFonts w:ascii="Times New Roman" w:hAnsi="Times New Roman" w:cs="Times New Roman"/>
              </w:rPr>
            </w:pPr>
            <w:r w:rsidRPr="005D76AB">
              <w:rPr>
                <w:rFonts w:ascii="Times New Roman" w:hAnsi="Times New Roman" w:cs="Times New Roman"/>
              </w:rPr>
              <w:t>-</w:t>
            </w:r>
            <w:r w:rsidR="001A6A5B" w:rsidRPr="005D76AB">
              <w:rPr>
                <w:rFonts w:ascii="Times New Roman" w:hAnsi="Times New Roman" w:cs="Times New Roman"/>
              </w:rPr>
              <w:t>0</w:t>
            </w:r>
            <w:r w:rsidR="00C47866" w:rsidRPr="005D76AB">
              <w:rPr>
                <w:rFonts w:ascii="Times New Roman" w:hAnsi="Times New Roman" w:cs="Times New Roman"/>
              </w:rPr>
              <w:t>.463</w:t>
            </w:r>
            <w:r w:rsidR="004C388A" w:rsidRPr="005D76AB">
              <w:rPr>
                <w:rFonts w:ascii="Times New Roman" w:hAnsi="Times New Roman" w:cs="Times New Roman"/>
              </w:rPr>
              <w:t>**</w:t>
            </w:r>
          </w:p>
          <w:p w:rsidR="00ED273D" w:rsidRPr="005D76AB" w:rsidRDefault="00ED273D" w:rsidP="005279E9">
            <w:pPr>
              <w:jc w:val="right"/>
              <w:rPr>
                <w:rFonts w:ascii="Times New Roman" w:hAnsi="Times New Roman" w:cs="Times New Roman"/>
              </w:rPr>
            </w:pPr>
            <w:r w:rsidRPr="005D76AB">
              <w:rPr>
                <w:rFonts w:ascii="Times New Roman" w:hAnsi="Times New Roman" w:cs="Times New Roman"/>
              </w:rPr>
              <w:t>(</w:t>
            </w:r>
            <w:r w:rsidR="005279E9" w:rsidRPr="005D76AB">
              <w:rPr>
                <w:rFonts w:ascii="Times New Roman" w:hAnsi="Times New Roman" w:cs="Times New Roman"/>
              </w:rPr>
              <w:t>-2</w:t>
            </w:r>
            <w:r w:rsidRPr="005D76AB">
              <w:rPr>
                <w:rFonts w:ascii="Times New Roman" w:hAnsi="Times New Roman" w:cs="Times New Roman"/>
              </w:rPr>
              <w:t>.27)</w:t>
            </w:r>
          </w:p>
        </w:tc>
      </w:tr>
      <w:tr w:rsidR="00077FF3" w:rsidRPr="005D76AB" w:rsidTr="00BB10E9">
        <w:trPr>
          <w:trHeight w:val="170"/>
        </w:trPr>
        <w:tc>
          <w:tcPr>
            <w:tcW w:w="1985" w:type="dxa"/>
          </w:tcPr>
          <w:p w:rsidR="00077FF3" w:rsidRPr="005D76AB" w:rsidRDefault="00077FF3" w:rsidP="00C47866">
            <w:pPr>
              <w:rPr>
                <w:rFonts w:ascii="Times New Roman" w:eastAsia="Times New Roman" w:hAnsi="Times New Roman" w:cs="Times New Roman"/>
              </w:rPr>
            </w:pPr>
          </w:p>
        </w:tc>
        <w:tc>
          <w:tcPr>
            <w:tcW w:w="2268" w:type="dxa"/>
            <w:vAlign w:val="center"/>
          </w:tcPr>
          <w:p w:rsidR="00077FF3" w:rsidRPr="005D76AB" w:rsidRDefault="00077FF3" w:rsidP="00077FF3">
            <w:pPr>
              <w:ind w:firstLine="708"/>
              <w:jc w:val="right"/>
              <w:rPr>
                <w:rFonts w:ascii="Times New Roman" w:hAnsi="Times New Roman" w:cs="Times New Roman"/>
              </w:rPr>
            </w:pPr>
          </w:p>
        </w:tc>
        <w:tc>
          <w:tcPr>
            <w:tcW w:w="2126" w:type="dxa"/>
            <w:vAlign w:val="center"/>
          </w:tcPr>
          <w:p w:rsidR="00077FF3" w:rsidRPr="005D76AB" w:rsidRDefault="00077FF3" w:rsidP="00077FF3">
            <w:pPr>
              <w:jc w:val="right"/>
              <w:rPr>
                <w:rFonts w:ascii="Times New Roman" w:hAnsi="Times New Roman" w:cs="Times New Roman"/>
              </w:rPr>
            </w:pPr>
          </w:p>
        </w:tc>
      </w:tr>
      <w:tr w:rsidR="00CE44D8" w:rsidRPr="005D76AB" w:rsidTr="00BB10E9">
        <w:trPr>
          <w:trHeight w:val="170"/>
        </w:trPr>
        <w:tc>
          <w:tcPr>
            <w:tcW w:w="1985" w:type="dxa"/>
          </w:tcPr>
          <w:p w:rsidR="00CE44D8" w:rsidRPr="005D76AB" w:rsidRDefault="00CB089C" w:rsidP="00C47866">
            <w:pPr>
              <w:rPr>
                <w:rFonts w:ascii="Times New Roman" w:hAnsi="Times New Roman" w:cs="Times New Roman"/>
                <w:i/>
              </w:rPr>
            </w:pPr>
            <m:oMathPara>
              <m:oMathParaPr>
                <m:jc m:val="left"/>
              </m:oMathParaPr>
              <m:oMath>
                <m:r>
                  <w:rPr>
                    <w:rFonts w:ascii="Cambria Math" w:eastAsia="Calibri" w:hAnsi="Cambria Math" w:cs="Times New Roman"/>
                  </w:rPr>
                  <m:t>Constante</m:t>
                </m:r>
              </m:oMath>
            </m:oMathPara>
          </w:p>
        </w:tc>
        <w:tc>
          <w:tcPr>
            <w:tcW w:w="2268" w:type="dxa"/>
            <w:vAlign w:val="center"/>
          </w:tcPr>
          <w:p w:rsidR="006D06F8" w:rsidRPr="005D76AB" w:rsidRDefault="006A2649" w:rsidP="00077FF3">
            <w:pPr>
              <w:ind w:firstLine="708"/>
              <w:jc w:val="right"/>
              <w:rPr>
                <w:rFonts w:ascii="Times New Roman" w:hAnsi="Times New Roman" w:cs="Times New Roman"/>
              </w:rPr>
            </w:pPr>
            <w:r w:rsidRPr="005D76AB">
              <w:rPr>
                <w:rFonts w:ascii="Times New Roman" w:hAnsi="Times New Roman" w:cs="Times New Roman"/>
              </w:rPr>
              <w:t>13.011</w:t>
            </w:r>
            <w:r w:rsidR="004C388A" w:rsidRPr="005D76AB">
              <w:rPr>
                <w:rFonts w:ascii="Times New Roman" w:hAnsi="Times New Roman" w:cs="Times New Roman"/>
              </w:rPr>
              <w:t>*</w:t>
            </w:r>
          </w:p>
          <w:p w:rsidR="00CE44D8" w:rsidRPr="005D76AB" w:rsidRDefault="006D06F8" w:rsidP="00077FF3">
            <w:pPr>
              <w:ind w:firstLine="708"/>
              <w:jc w:val="right"/>
              <w:rPr>
                <w:rFonts w:ascii="Times New Roman" w:hAnsi="Times New Roman" w:cs="Times New Roman"/>
              </w:rPr>
            </w:pPr>
            <w:r w:rsidRPr="005D76AB">
              <w:rPr>
                <w:rFonts w:ascii="Times New Roman" w:hAnsi="Times New Roman" w:cs="Times New Roman"/>
              </w:rPr>
              <w:t>(1.66)</w:t>
            </w:r>
          </w:p>
        </w:tc>
        <w:tc>
          <w:tcPr>
            <w:tcW w:w="2126" w:type="dxa"/>
            <w:vAlign w:val="center"/>
          </w:tcPr>
          <w:p w:rsidR="00CE44D8" w:rsidRPr="005D76AB" w:rsidRDefault="00C47866" w:rsidP="00077FF3">
            <w:pPr>
              <w:jc w:val="right"/>
              <w:rPr>
                <w:rFonts w:ascii="Times New Roman" w:hAnsi="Times New Roman" w:cs="Times New Roman"/>
              </w:rPr>
            </w:pPr>
            <w:r w:rsidRPr="005D76AB">
              <w:rPr>
                <w:rFonts w:ascii="Times New Roman" w:hAnsi="Times New Roman" w:cs="Times New Roman"/>
              </w:rPr>
              <w:t>-3.246</w:t>
            </w:r>
            <w:r w:rsidR="004C388A" w:rsidRPr="005D76AB">
              <w:rPr>
                <w:rFonts w:ascii="Times New Roman" w:hAnsi="Times New Roman" w:cs="Times New Roman"/>
              </w:rPr>
              <w:t>***</w:t>
            </w:r>
          </w:p>
          <w:p w:rsidR="00ED273D" w:rsidRPr="005D76AB" w:rsidRDefault="00ED273D" w:rsidP="005279E9">
            <w:pPr>
              <w:jc w:val="right"/>
              <w:rPr>
                <w:rFonts w:ascii="Times New Roman" w:hAnsi="Times New Roman" w:cs="Times New Roman"/>
              </w:rPr>
            </w:pPr>
            <w:r w:rsidRPr="005D76AB">
              <w:rPr>
                <w:rFonts w:ascii="Times New Roman" w:hAnsi="Times New Roman" w:cs="Times New Roman"/>
              </w:rPr>
              <w:t>(-</w:t>
            </w:r>
            <w:r w:rsidR="005279E9" w:rsidRPr="005D76AB">
              <w:rPr>
                <w:rFonts w:ascii="Times New Roman" w:hAnsi="Times New Roman" w:cs="Times New Roman"/>
              </w:rPr>
              <w:t>5</w:t>
            </w:r>
            <w:r w:rsidRPr="005D76AB">
              <w:rPr>
                <w:rFonts w:ascii="Times New Roman" w:hAnsi="Times New Roman" w:cs="Times New Roman"/>
              </w:rPr>
              <w:t>.20)</w:t>
            </w:r>
          </w:p>
        </w:tc>
      </w:tr>
      <w:tr w:rsidR="00077FF3" w:rsidRPr="005D76AB" w:rsidTr="00BB10E9">
        <w:trPr>
          <w:trHeight w:val="170"/>
        </w:trPr>
        <w:tc>
          <w:tcPr>
            <w:tcW w:w="1985" w:type="dxa"/>
          </w:tcPr>
          <w:p w:rsidR="00077FF3" w:rsidRPr="005D76AB" w:rsidRDefault="00077FF3" w:rsidP="00C47866">
            <w:pPr>
              <w:rPr>
                <w:rFonts w:ascii="Times New Roman" w:eastAsia="Times New Roman" w:hAnsi="Times New Roman" w:cs="Times New Roman"/>
              </w:rPr>
            </w:pPr>
          </w:p>
        </w:tc>
        <w:tc>
          <w:tcPr>
            <w:tcW w:w="2268" w:type="dxa"/>
            <w:vAlign w:val="center"/>
          </w:tcPr>
          <w:p w:rsidR="00077FF3" w:rsidRPr="005D76AB" w:rsidRDefault="00077FF3" w:rsidP="00077FF3">
            <w:pPr>
              <w:jc w:val="right"/>
              <w:rPr>
                <w:rFonts w:ascii="Times New Roman" w:hAnsi="Times New Roman" w:cs="Times New Roman"/>
                <w:lang w:val="en-US"/>
              </w:rPr>
            </w:pPr>
          </w:p>
        </w:tc>
        <w:tc>
          <w:tcPr>
            <w:tcW w:w="2126" w:type="dxa"/>
            <w:vAlign w:val="center"/>
          </w:tcPr>
          <w:p w:rsidR="00077FF3" w:rsidRPr="005D76AB" w:rsidRDefault="00077FF3" w:rsidP="00077FF3">
            <w:pPr>
              <w:jc w:val="right"/>
              <w:rPr>
                <w:rFonts w:ascii="Times New Roman" w:hAnsi="Times New Roman" w:cs="Times New Roman"/>
                <w:lang w:val="en-US"/>
              </w:rPr>
            </w:pPr>
          </w:p>
        </w:tc>
      </w:tr>
      <w:tr w:rsidR="00CE44D8" w:rsidRPr="005D76AB" w:rsidTr="00BB10E9">
        <w:trPr>
          <w:trHeight w:val="170"/>
        </w:trPr>
        <w:tc>
          <w:tcPr>
            <w:tcW w:w="1985" w:type="dxa"/>
          </w:tcPr>
          <w:p w:rsidR="00CE44D8" w:rsidRPr="005D76AB" w:rsidRDefault="00A4353D" w:rsidP="00C47866">
            <w:pPr>
              <w:rPr>
                <w:rFonts w:ascii="Times New Roman" w:hAnsi="Times New Roman" w:cs="Times New Roman"/>
                <w:i/>
              </w:rPr>
            </w:pPr>
            <m:oMathPara>
              <m:oMathParaPr>
                <m:jc m:val="left"/>
              </m:oMathParaPr>
              <m:oMath>
                <m:sSup>
                  <m:sSupPr>
                    <m:ctrlPr>
                      <w:rPr>
                        <w:rFonts w:ascii="Cambria Math" w:eastAsia="Calibri" w:hAnsi="Cambria Math" w:cs="Times New Roman"/>
                        <w:i/>
                      </w:rPr>
                    </m:ctrlPr>
                  </m:sSupPr>
                  <m:e>
                    <m:r>
                      <w:rPr>
                        <w:rFonts w:ascii="Cambria Math" w:eastAsia="Calibri" w:hAnsi="Cambria Math" w:cs="Times New Roman"/>
                      </w:rPr>
                      <m:t>R</m:t>
                    </m:r>
                  </m:e>
                  <m:sup>
                    <m:r>
                      <w:rPr>
                        <w:rFonts w:ascii="Cambria Math" w:eastAsia="Calibri" w:hAnsi="Cambria Math" w:cs="Times New Roman"/>
                      </w:rPr>
                      <m:t>2</m:t>
                    </m:r>
                  </m:sup>
                </m:sSup>
              </m:oMath>
            </m:oMathPara>
          </w:p>
        </w:tc>
        <w:tc>
          <w:tcPr>
            <w:tcW w:w="2268" w:type="dxa"/>
            <w:vAlign w:val="center"/>
          </w:tcPr>
          <w:p w:rsidR="00CE44D8" w:rsidRPr="005D76AB" w:rsidRDefault="00E902A4" w:rsidP="00077FF3">
            <w:pPr>
              <w:jc w:val="right"/>
              <w:rPr>
                <w:rFonts w:ascii="Times New Roman" w:hAnsi="Times New Roman" w:cs="Times New Roman"/>
              </w:rPr>
            </w:pPr>
            <w:r w:rsidRPr="005D76AB">
              <w:rPr>
                <w:rFonts w:ascii="Times New Roman" w:hAnsi="Times New Roman" w:cs="Times New Roman"/>
                <w:lang w:val="en-US"/>
              </w:rPr>
              <w:t>0.88</w:t>
            </w:r>
          </w:p>
        </w:tc>
        <w:tc>
          <w:tcPr>
            <w:tcW w:w="2126" w:type="dxa"/>
            <w:vAlign w:val="center"/>
          </w:tcPr>
          <w:p w:rsidR="00CE44D8" w:rsidRPr="005D76AB" w:rsidRDefault="007B6102" w:rsidP="00077FF3">
            <w:pPr>
              <w:jc w:val="right"/>
              <w:rPr>
                <w:rFonts w:ascii="Times New Roman" w:hAnsi="Times New Roman" w:cs="Times New Roman"/>
              </w:rPr>
            </w:pPr>
            <w:r w:rsidRPr="005D76AB">
              <w:rPr>
                <w:rFonts w:ascii="Times New Roman" w:hAnsi="Times New Roman" w:cs="Times New Roman"/>
                <w:lang w:val="en-US"/>
              </w:rPr>
              <w:t>0.93</w:t>
            </w:r>
          </w:p>
        </w:tc>
      </w:tr>
      <w:tr w:rsidR="00077FF3" w:rsidRPr="005D76AB" w:rsidTr="00BB10E9">
        <w:trPr>
          <w:trHeight w:val="170"/>
        </w:trPr>
        <w:tc>
          <w:tcPr>
            <w:tcW w:w="1985" w:type="dxa"/>
          </w:tcPr>
          <w:p w:rsidR="00077FF3" w:rsidRPr="005D76AB" w:rsidRDefault="00077FF3" w:rsidP="00C47866">
            <w:pPr>
              <w:rPr>
                <w:rFonts w:ascii="Times New Roman" w:eastAsia="Times New Roman" w:hAnsi="Times New Roman" w:cs="Times New Roman"/>
              </w:rPr>
            </w:pPr>
          </w:p>
        </w:tc>
        <w:tc>
          <w:tcPr>
            <w:tcW w:w="2268" w:type="dxa"/>
            <w:vAlign w:val="center"/>
          </w:tcPr>
          <w:p w:rsidR="00077FF3" w:rsidRPr="005D76AB" w:rsidRDefault="00077FF3" w:rsidP="00077FF3">
            <w:pPr>
              <w:jc w:val="right"/>
              <w:rPr>
                <w:rFonts w:ascii="Times New Roman" w:hAnsi="Times New Roman" w:cs="Times New Roman"/>
              </w:rPr>
            </w:pPr>
          </w:p>
        </w:tc>
        <w:tc>
          <w:tcPr>
            <w:tcW w:w="2126" w:type="dxa"/>
            <w:vAlign w:val="center"/>
          </w:tcPr>
          <w:p w:rsidR="00077FF3" w:rsidRPr="005D76AB" w:rsidRDefault="00077FF3" w:rsidP="00077FF3">
            <w:pPr>
              <w:jc w:val="right"/>
              <w:rPr>
                <w:rFonts w:ascii="Times New Roman" w:hAnsi="Times New Roman" w:cs="Times New Roman"/>
              </w:rPr>
            </w:pPr>
          </w:p>
        </w:tc>
      </w:tr>
      <w:tr w:rsidR="00CE44D8" w:rsidRPr="005D76AB" w:rsidTr="00BB10E9">
        <w:trPr>
          <w:trHeight w:val="170"/>
        </w:trPr>
        <w:tc>
          <w:tcPr>
            <w:tcW w:w="1985" w:type="dxa"/>
          </w:tcPr>
          <w:p w:rsidR="00CE44D8" w:rsidRPr="005D76AB" w:rsidRDefault="00CB089C" w:rsidP="00C47866">
            <w:pPr>
              <w:rPr>
                <w:rFonts w:ascii="Times New Roman" w:hAnsi="Times New Roman" w:cs="Times New Roman"/>
                <w:i/>
              </w:rPr>
            </w:pPr>
            <m:oMathPara>
              <m:oMathParaPr>
                <m:jc m:val="left"/>
              </m:oMathParaPr>
              <m:oMath>
                <m:r>
                  <w:rPr>
                    <w:rFonts w:ascii="Cambria Math" w:hAnsi="Cambria Math" w:cs="Times New Roman"/>
                  </w:rPr>
                  <m:t>Observations</m:t>
                </m:r>
              </m:oMath>
            </m:oMathPara>
          </w:p>
        </w:tc>
        <w:tc>
          <w:tcPr>
            <w:tcW w:w="2268" w:type="dxa"/>
            <w:vAlign w:val="center"/>
          </w:tcPr>
          <w:p w:rsidR="00CE44D8" w:rsidRPr="005D76AB" w:rsidRDefault="00E902A4" w:rsidP="00077FF3">
            <w:pPr>
              <w:jc w:val="right"/>
              <w:rPr>
                <w:rFonts w:ascii="Times New Roman" w:hAnsi="Times New Roman" w:cs="Times New Roman"/>
              </w:rPr>
            </w:pPr>
            <w:r w:rsidRPr="005D76AB">
              <w:rPr>
                <w:rFonts w:ascii="Times New Roman" w:hAnsi="Times New Roman" w:cs="Times New Roman"/>
              </w:rPr>
              <w:t>28</w:t>
            </w:r>
          </w:p>
        </w:tc>
        <w:tc>
          <w:tcPr>
            <w:tcW w:w="2126" w:type="dxa"/>
            <w:vAlign w:val="center"/>
          </w:tcPr>
          <w:p w:rsidR="00CE44D8" w:rsidRPr="005D76AB" w:rsidRDefault="007B6102" w:rsidP="00077FF3">
            <w:pPr>
              <w:jc w:val="right"/>
              <w:rPr>
                <w:rFonts w:ascii="Times New Roman" w:hAnsi="Times New Roman" w:cs="Times New Roman"/>
              </w:rPr>
            </w:pPr>
            <w:r w:rsidRPr="005D76AB">
              <w:rPr>
                <w:rFonts w:ascii="Times New Roman" w:hAnsi="Times New Roman" w:cs="Times New Roman"/>
              </w:rPr>
              <w:t>28</w:t>
            </w:r>
          </w:p>
        </w:tc>
      </w:tr>
      <w:tr w:rsidR="00077FF3" w:rsidRPr="005D76AB" w:rsidTr="00BB10E9">
        <w:trPr>
          <w:trHeight w:val="170"/>
        </w:trPr>
        <w:tc>
          <w:tcPr>
            <w:tcW w:w="1985" w:type="dxa"/>
          </w:tcPr>
          <w:p w:rsidR="00077FF3" w:rsidRPr="005D76AB" w:rsidRDefault="00077FF3" w:rsidP="00C47866">
            <w:pPr>
              <w:rPr>
                <w:rFonts w:ascii="Times New Roman" w:hAnsi="Times New Roman" w:cs="Times New Roman"/>
                <w:i/>
              </w:rPr>
            </w:pPr>
          </w:p>
        </w:tc>
        <w:tc>
          <w:tcPr>
            <w:tcW w:w="2268" w:type="dxa"/>
            <w:vAlign w:val="center"/>
          </w:tcPr>
          <w:p w:rsidR="00077FF3" w:rsidRPr="005D76AB" w:rsidRDefault="00077FF3" w:rsidP="00077FF3">
            <w:pPr>
              <w:jc w:val="right"/>
              <w:rPr>
                <w:rFonts w:ascii="Times New Roman" w:eastAsia="Times New Roman" w:hAnsi="Times New Roman" w:cs="Times New Roman"/>
                <w:i/>
              </w:rPr>
            </w:pPr>
          </w:p>
        </w:tc>
        <w:tc>
          <w:tcPr>
            <w:tcW w:w="2126" w:type="dxa"/>
            <w:vAlign w:val="center"/>
          </w:tcPr>
          <w:p w:rsidR="00077FF3" w:rsidRPr="005D76AB" w:rsidRDefault="00077FF3" w:rsidP="00077FF3">
            <w:pPr>
              <w:jc w:val="right"/>
              <w:rPr>
                <w:rFonts w:ascii="Times New Roman" w:eastAsia="Times New Roman" w:hAnsi="Times New Roman" w:cs="Times New Roman"/>
              </w:rPr>
            </w:pPr>
          </w:p>
        </w:tc>
      </w:tr>
      <w:tr w:rsidR="00CE44D8" w:rsidRPr="005D76AB" w:rsidTr="00BB10E9">
        <w:trPr>
          <w:trHeight w:val="170"/>
        </w:trPr>
        <w:tc>
          <w:tcPr>
            <w:tcW w:w="1985" w:type="dxa"/>
          </w:tcPr>
          <w:p w:rsidR="00CE44D8" w:rsidRPr="005D76AB" w:rsidRDefault="000C71E6" w:rsidP="00C47866">
            <w:pPr>
              <w:rPr>
                <w:rFonts w:ascii="Times New Roman" w:hAnsi="Times New Roman" w:cs="Times New Roman"/>
                <w:i/>
              </w:rPr>
            </w:pPr>
            <w:r w:rsidRPr="005D76AB">
              <w:rPr>
                <w:rFonts w:ascii="Times New Roman" w:hAnsi="Times New Roman" w:cs="Times New Roman"/>
                <w:i/>
              </w:rPr>
              <w:t xml:space="preserve">Fisher </w:t>
            </w:r>
          </w:p>
        </w:tc>
        <w:tc>
          <w:tcPr>
            <w:tcW w:w="2268" w:type="dxa"/>
            <w:vAlign w:val="center"/>
          </w:tcPr>
          <w:p w:rsidR="00CE44D8" w:rsidRPr="005D76AB" w:rsidRDefault="00E902A4" w:rsidP="00077FF3">
            <w:pPr>
              <w:jc w:val="right"/>
              <w:rPr>
                <w:rFonts w:ascii="Times New Roman" w:hAnsi="Times New Roman" w:cs="Times New Roman"/>
              </w:rPr>
            </w:pPr>
            <m:oMathPara>
              <m:oMathParaPr>
                <m:jc m:val="right"/>
              </m:oMathParaPr>
              <m:oMath>
                <m:r>
                  <w:rPr>
                    <w:rFonts w:ascii="Cambria Math" w:hAnsi="Cambria Math" w:cs="Times New Roman"/>
                  </w:rPr>
                  <m:t>F</m:t>
                </m:r>
                <m:d>
                  <m:dPr>
                    <m:ctrlPr>
                      <w:rPr>
                        <w:rFonts w:ascii="Cambria Math" w:hAnsi="Times New Roman" w:cs="Times New Roman"/>
                        <w:i/>
                      </w:rPr>
                    </m:ctrlPr>
                  </m:dPr>
                  <m:e>
                    <m:r>
                      <w:rPr>
                        <w:rFonts w:ascii="Cambria Math" w:hAnsi="Times New Roman" w:cs="Times New Roman"/>
                      </w:rPr>
                      <m:t>5,22</m:t>
                    </m:r>
                  </m:e>
                </m:d>
                <m:r>
                  <w:rPr>
                    <w:rFonts w:ascii="Cambria Math" w:hAnsi="Times New Roman" w:cs="Times New Roman"/>
                  </w:rPr>
                  <m:t>=43.11</m:t>
                </m:r>
              </m:oMath>
            </m:oMathPara>
          </w:p>
        </w:tc>
        <w:tc>
          <w:tcPr>
            <w:tcW w:w="2126" w:type="dxa"/>
            <w:vAlign w:val="center"/>
          </w:tcPr>
          <w:p w:rsidR="00CE44D8" w:rsidRPr="005D76AB" w:rsidRDefault="007B6102" w:rsidP="00077FF3">
            <w:pPr>
              <w:jc w:val="right"/>
              <w:rPr>
                <w:rFonts w:ascii="Times New Roman" w:hAnsi="Times New Roman" w:cs="Times New Roman"/>
              </w:rPr>
            </w:pPr>
            <m:oMathPara>
              <m:oMathParaPr>
                <m:jc m:val="right"/>
              </m:oMathParaPr>
              <m:oMath>
                <m:r>
                  <w:rPr>
                    <w:rFonts w:ascii="Cambria Math" w:hAnsi="Cambria Math" w:cs="Times New Roman"/>
                  </w:rPr>
                  <m:t>F</m:t>
                </m:r>
                <m:d>
                  <m:dPr>
                    <m:ctrlPr>
                      <w:rPr>
                        <w:rFonts w:ascii="Cambria Math" w:hAnsi="Times New Roman" w:cs="Times New Roman"/>
                        <w:i/>
                      </w:rPr>
                    </m:ctrlPr>
                  </m:dPr>
                  <m:e>
                    <m:r>
                      <w:rPr>
                        <w:rFonts w:ascii="Cambria Math" w:hAnsi="Times New Roman" w:cs="Times New Roman"/>
                      </w:rPr>
                      <m:t>5,22</m:t>
                    </m:r>
                  </m:e>
                </m:d>
                <m:r>
                  <w:rPr>
                    <w:rFonts w:ascii="Cambria Math" w:hAnsi="Times New Roman" w:cs="Times New Roman"/>
                  </w:rPr>
                  <m:t>=31.77</m:t>
                </m:r>
              </m:oMath>
            </m:oMathPara>
          </w:p>
        </w:tc>
      </w:tr>
    </w:tbl>
    <w:p w:rsidR="00C20228" w:rsidRDefault="00E902A4" w:rsidP="00FD1090">
      <w:pPr>
        <w:jc w:val="both"/>
        <w:rPr>
          <w:rFonts w:ascii="Times New Roman" w:hAnsi="Times New Roman" w:cs="Times New Roman"/>
          <w:sz w:val="24"/>
          <w:szCs w:val="24"/>
        </w:rPr>
      </w:pPr>
      <w:r>
        <w:rPr>
          <w:rFonts w:ascii="Times New Roman" w:hAnsi="Times New Roman" w:cs="Times New Roman"/>
          <w:sz w:val="24"/>
          <w:szCs w:val="24"/>
        </w:rPr>
        <w:t>Source : Auteurs.</w:t>
      </w:r>
      <w:r w:rsidR="004C388A">
        <w:rPr>
          <w:rFonts w:ascii="Times New Roman" w:hAnsi="Times New Roman" w:cs="Times New Roman"/>
          <w:sz w:val="24"/>
          <w:szCs w:val="24"/>
        </w:rPr>
        <w:t xml:space="preserve"> Les valeurs entre parenthèses représentent les t-</w:t>
      </w:r>
      <w:proofErr w:type="spellStart"/>
      <w:r w:rsidR="004C388A">
        <w:rPr>
          <w:rFonts w:ascii="Times New Roman" w:hAnsi="Times New Roman" w:cs="Times New Roman"/>
          <w:sz w:val="24"/>
          <w:szCs w:val="24"/>
        </w:rPr>
        <w:t>Student</w:t>
      </w:r>
      <w:proofErr w:type="spellEnd"/>
      <w:r w:rsidR="004C388A">
        <w:rPr>
          <w:rFonts w:ascii="Times New Roman" w:hAnsi="Times New Roman" w:cs="Times New Roman"/>
          <w:sz w:val="24"/>
          <w:szCs w:val="24"/>
        </w:rPr>
        <w:t xml:space="preserve">. Par ailleurs, ***, ** et * indiquent la significativité des coefficients au seuil de 1%, 5% et 10% respectivement. </w:t>
      </w:r>
    </w:p>
    <w:p w:rsidR="00393B89" w:rsidRDefault="00637E57" w:rsidP="00FD1090">
      <w:pPr>
        <w:jc w:val="both"/>
        <w:rPr>
          <w:rFonts w:ascii="Times New Roman" w:hAnsi="Times New Roman" w:cs="Times New Roman"/>
          <w:sz w:val="24"/>
          <w:szCs w:val="24"/>
        </w:rPr>
      </w:pPr>
      <w:r>
        <w:rPr>
          <w:rFonts w:ascii="Times New Roman" w:hAnsi="Times New Roman" w:cs="Times New Roman"/>
          <w:sz w:val="24"/>
          <w:szCs w:val="24"/>
        </w:rPr>
        <w:lastRenderedPageBreak/>
        <w:t>Globalement, les résultats confirment les prédicti</w:t>
      </w:r>
      <w:r w:rsidR="0051558A">
        <w:rPr>
          <w:rFonts w:ascii="Times New Roman" w:hAnsi="Times New Roman" w:cs="Times New Roman"/>
          <w:sz w:val="24"/>
          <w:szCs w:val="24"/>
        </w:rPr>
        <w:t>ons</w:t>
      </w:r>
      <w:r w:rsidR="00A84810">
        <w:rPr>
          <w:rFonts w:ascii="Times New Roman" w:hAnsi="Times New Roman" w:cs="Times New Roman"/>
          <w:sz w:val="24"/>
          <w:szCs w:val="24"/>
        </w:rPr>
        <w:t xml:space="preserve"> de l’analyse des tendances et du test de causalité</w:t>
      </w:r>
      <w:r>
        <w:rPr>
          <w:rFonts w:ascii="Times New Roman" w:hAnsi="Times New Roman" w:cs="Times New Roman"/>
          <w:sz w:val="24"/>
          <w:szCs w:val="24"/>
        </w:rPr>
        <w:t>, à savoir</w:t>
      </w:r>
      <w:r w:rsidR="0051558A">
        <w:rPr>
          <w:rFonts w:ascii="Times New Roman" w:hAnsi="Times New Roman" w:cs="Times New Roman"/>
          <w:sz w:val="24"/>
          <w:szCs w:val="24"/>
        </w:rPr>
        <w:t xml:space="preserve"> l’effet positif de l’aide pour le commerce (avec ou sans subvention du MCA) sur les importations au Bénin d’une part, puis l’effet négatif du temps et du coût de traitement par conteneur à l’importation sur les importations d’autre part. </w:t>
      </w:r>
      <w:r w:rsidR="009D0877">
        <w:rPr>
          <w:rFonts w:ascii="Times New Roman" w:hAnsi="Times New Roman" w:cs="Times New Roman"/>
          <w:sz w:val="24"/>
          <w:szCs w:val="24"/>
        </w:rPr>
        <w:t xml:space="preserve">Le coefficient lié à la variable </w:t>
      </w:r>
      <w:proofErr w:type="spellStart"/>
      <w:r w:rsidR="009D0877">
        <w:rPr>
          <w:rFonts w:ascii="Times New Roman" w:hAnsi="Times New Roman" w:cs="Times New Roman"/>
          <w:sz w:val="24"/>
          <w:szCs w:val="24"/>
        </w:rPr>
        <w:t>dummy</w:t>
      </w:r>
      <w:proofErr w:type="spellEnd"/>
      <w:r w:rsidR="009D0877">
        <w:rPr>
          <w:rFonts w:ascii="Times New Roman" w:hAnsi="Times New Roman" w:cs="Times New Roman"/>
          <w:sz w:val="24"/>
          <w:szCs w:val="24"/>
        </w:rPr>
        <w:t xml:space="preserve"> testé significatif atteste de l’importance de la subvention du MCA dans l’explication de la dynamique des importations au Bénin depuis son avènement en 2006. </w:t>
      </w:r>
      <w:r w:rsidR="0051558A">
        <w:rPr>
          <w:rFonts w:ascii="Times New Roman" w:hAnsi="Times New Roman" w:cs="Times New Roman"/>
          <w:sz w:val="24"/>
          <w:szCs w:val="24"/>
        </w:rPr>
        <w:t>Plus spécifiquement, l’élasticité de</w:t>
      </w:r>
      <w:r w:rsidR="009D0877">
        <w:rPr>
          <w:rFonts w:ascii="Times New Roman" w:hAnsi="Times New Roman" w:cs="Times New Roman"/>
          <w:sz w:val="24"/>
          <w:szCs w:val="24"/>
        </w:rPr>
        <w:t>s</w:t>
      </w:r>
      <w:r w:rsidR="0051558A">
        <w:rPr>
          <w:rFonts w:ascii="Times New Roman" w:hAnsi="Times New Roman" w:cs="Times New Roman"/>
          <w:sz w:val="24"/>
          <w:szCs w:val="24"/>
        </w:rPr>
        <w:t xml:space="preserve"> importation</w:t>
      </w:r>
      <w:r w:rsidR="009D0877">
        <w:rPr>
          <w:rFonts w:ascii="Times New Roman" w:hAnsi="Times New Roman" w:cs="Times New Roman"/>
          <w:sz w:val="24"/>
          <w:szCs w:val="24"/>
        </w:rPr>
        <w:t>s</w:t>
      </w:r>
      <w:r w:rsidR="0051558A">
        <w:rPr>
          <w:rFonts w:ascii="Times New Roman" w:hAnsi="Times New Roman" w:cs="Times New Roman"/>
          <w:sz w:val="24"/>
          <w:szCs w:val="24"/>
        </w:rPr>
        <w:t xml:space="preserve"> par rapport à </w:t>
      </w:r>
      <w:proofErr w:type="spellStart"/>
      <w:r w:rsidR="0051558A" w:rsidRPr="00637E57">
        <w:rPr>
          <w:rFonts w:ascii="Times New Roman" w:hAnsi="Times New Roman" w:cs="Times New Roman"/>
          <w:i/>
          <w:sz w:val="24"/>
          <w:szCs w:val="24"/>
        </w:rPr>
        <w:t>AfT_NMCA</w:t>
      </w:r>
      <w:proofErr w:type="spellEnd"/>
      <w:r w:rsidR="0051558A">
        <w:rPr>
          <w:rFonts w:ascii="Times New Roman" w:hAnsi="Times New Roman" w:cs="Times New Roman"/>
          <w:sz w:val="24"/>
          <w:szCs w:val="24"/>
        </w:rPr>
        <w:t xml:space="preserve"> et </w:t>
      </w:r>
      <w:proofErr w:type="spellStart"/>
      <w:r w:rsidR="0051558A" w:rsidRPr="00637E57">
        <w:rPr>
          <w:rFonts w:ascii="Times New Roman" w:hAnsi="Times New Roman" w:cs="Times New Roman"/>
          <w:i/>
          <w:sz w:val="24"/>
          <w:szCs w:val="24"/>
        </w:rPr>
        <w:t>AfT_MCA</w:t>
      </w:r>
      <w:proofErr w:type="spellEnd"/>
      <w:r w:rsidR="009D0877">
        <w:rPr>
          <w:rFonts w:ascii="Times New Roman" w:hAnsi="Times New Roman" w:cs="Times New Roman"/>
          <w:sz w:val="24"/>
          <w:szCs w:val="24"/>
        </w:rPr>
        <w:t xml:space="preserve"> est estimée à 0.039 et 1.092 respectivement, confirmant une hausse des importations plus grande lorsque la subvention du MCA est considérée dans l’estimation. Il en est de même du carré des variables de l’aide</w:t>
      </w:r>
      <w:r w:rsidR="00393B89">
        <w:rPr>
          <w:rFonts w:ascii="Times New Roman" w:hAnsi="Times New Roman" w:cs="Times New Roman"/>
          <w:sz w:val="24"/>
          <w:szCs w:val="24"/>
        </w:rPr>
        <w:t xml:space="preserve"> pour le commerce pour lequel, le coefficient n’est pas significatif dans le premier scénario mais significatif dans le second avec 0.216 comme élasticité.</w:t>
      </w:r>
    </w:p>
    <w:p w:rsidR="00637E57" w:rsidRDefault="00393B89" w:rsidP="00FD1090">
      <w:pPr>
        <w:jc w:val="both"/>
        <w:rPr>
          <w:rFonts w:ascii="Times New Roman" w:hAnsi="Times New Roman" w:cs="Times New Roman"/>
          <w:sz w:val="24"/>
          <w:szCs w:val="24"/>
        </w:rPr>
      </w:pPr>
      <w:r>
        <w:rPr>
          <w:rFonts w:ascii="Times New Roman" w:hAnsi="Times New Roman" w:cs="Times New Roman"/>
          <w:sz w:val="24"/>
          <w:szCs w:val="24"/>
        </w:rPr>
        <w:t>Les élasticités négatives des importations par rapport au temps et au coût per</w:t>
      </w:r>
      <w:r w:rsidR="00A05915">
        <w:rPr>
          <w:rFonts w:ascii="Times New Roman" w:hAnsi="Times New Roman" w:cs="Times New Roman"/>
          <w:sz w:val="24"/>
          <w:szCs w:val="24"/>
        </w:rPr>
        <w:t>mettent de corroborer les premie</w:t>
      </w:r>
      <w:r>
        <w:rPr>
          <w:rFonts w:ascii="Times New Roman" w:hAnsi="Times New Roman" w:cs="Times New Roman"/>
          <w:sz w:val="24"/>
          <w:szCs w:val="24"/>
        </w:rPr>
        <w:t>rs résultats obtenus de l’analyse des dynamiques : réduire ces variables de 1% permettent d’accroître les importations de l’ordre de 0.092% et 1.305% respectivement dans le premier scénario alors que les élasticités sont de l’ordre de 0.216 et 0.463 respectivement dans le second scénario. Ces résultats permettent de justifier en outre qu’au-delà de la hausse des coûts de traitements par conteneurs observée dans la tendance de la variable, son effet rédu</w:t>
      </w:r>
      <w:r w:rsidR="00BE7011">
        <w:rPr>
          <w:rFonts w:ascii="Times New Roman" w:hAnsi="Times New Roman" w:cs="Times New Roman"/>
          <w:sz w:val="24"/>
          <w:szCs w:val="24"/>
        </w:rPr>
        <w:t>cteur sur les importations ainsi testé signific</w:t>
      </w:r>
      <w:r w:rsidR="00A05915">
        <w:rPr>
          <w:rFonts w:ascii="Times New Roman" w:hAnsi="Times New Roman" w:cs="Times New Roman"/>
          <w:sz w:val="24"/>
          <w:szCs w:val="24"/>
        </w:rPr>
        <w:t>atif pourrait s’expliquer par la</w:t>
      </w:r>
      <w:r w:rsidR="00BE7011">
        <w:rPr>
          <w:rFonts w:ascii="Times New Roman" w:hAnsi="Times New Roman" w:cs="Times New Roman"/>
          <w:sz w:val="24"/>
          <w:szCs w:val="24"/>
        </w:rPr>
        <w:t xml:space="preserve"> baisse des coûts de transaction due aux performances réalisées dans le temps de traitement avec moins d’heures en rade et moins de jours à quai pour les navires à conteneurs.</w:t>
      </w:r>
      <w:r w:rsidR="009D0877">
        <w:rPr>
          <w:rFonts w:ascii="Times New Roman" w:hAnsi="Times New Roman" w:cs="Times New Roman"/>
          <w:sz w:val="24"/>
          <w:szCs w:val="24"/>
        </w:rPr>
        <w:t xml:space="preserve"> </w:t>
      </w:r>
      <w:r w:rsidR="0051558A">
        <w:rPr>
          <w:rFonts w:ascii="Times New Roman" w:hAnsi="Times New Roman" w:cs="Times New Roman"/>
          <w:sz w:val="24"/>
          <w:szCs w:val="24"/>
        </w:rPr>
        <w:t xml:space="preserve"> </w:t>
      </w:r>
    </w:p>
    <w:p w:rsidR="005D76AB" w:rsidRDefault="00293DFA" w:rsidP="00332F0B">
      <w:pPr>
        <w:jc w:val="both"/>
        <w:rPr>
          <w:rFonts w:ascii="Times New Roman" w:hAnsi="Times New Roman" w:cs="Times New Roman"/>
          <w:sz w:val="24"/>
          <w:szCs w:val="24"/>
        </w:rPr>
      </w:pPr>
      <w:r>
        <w:rPr>
          <w:rFonts w:ascii="Times New Roman" w:hAnsi="Times New Roman" w:cs="Times New Roman"/>
          <w:sz w:val="24"/>
          <w:szCs w:val="24"/>
        </w:rPr>
        <w:t>En dépit des limites méthodologiques liées aux données (sources diverses, nombre d’observations) puis à la référence aux subventions du MCA mises en œuvre en 2006 seulement, ces différentes approches d’analyse permettent de confirmer l’effet positif de l’appui du MCA analysé sous l’angle d’aide pour le commerce, sur l</w:t>
      </w:r>
      <w:r w:rsidR="00094327">
        <w:rPr>
          <w:rFonts w:ascii="Times New Roman" w:hAnsi="Times New Roman" w:cs="Times New Roman"/>
          <w:sz w:val="24"/>
          <w:szCs w:val="24"/>
        </w:rPr>
        <w:t xml:space="preserve">es importations béninoises. Cet effet vient de la réduction des durées de traitement des conteneurs mais aussi des temps de navires à conteneurs en rade et au quai ; il vient aussi de la baisse des coûts de transaction liée à ces différentes réformes entreprises sur la plateforme portuaire. En considérant les deux scénarii avec et sans les subventions, le but est d’isoler l’effet spécifique de cette aide américaine dans l’explication des importations ; il existe d’autres approches d’analyse plus spécifiques qui permettraient d’adresser judicieusement cette problématique et </w:t>
      </w:r>
      <w:r w:rsidR="00094327" w:rsidRPr="005D76AB">
        <w:rPr>
          <w:rFonts w:ascii="Times New Roman" w:hAnsi="Times New Roman" w:cs="Times New Roman"/>
          <w:sz w:val="24"/>
          <w:szCs w:val="24"/>
        </w:rPr>
        <w:t xml:space="preserve">elles pourraient être mise en œuvre pour une robustesse des </w:t>
      </w:r>
      <w:r w:rsidR="005D76AB" w:rsidRPr="005D76AB">
        <w:rPr>
          <w:rFonts w:ascii="Times New Roman" w:hAnsi="Times New Roman" w:cs="Times New Roman"/>
          <w:sz w:val="24"/>
          <w:szCs w:val="24"/>
        </w:rPr>
        <w:t>résultats mis en exergue.</w:t>
      </w:r>
    </w:p>
    <w:p w:rsidR="005C1359" w:rsidRDefault="005C1359" w:rsidP="005C1359">
      <w:pPr>
        <w:spacing w:before="120" w:after="120"/>
        <w:jc w:val="both"/>
        <w:rPr>
          <w:rFonts w:ascii="Times New Roman" w:eastAsia="Calibri" w:hAnsi="Times New Roman" w:cs="Times New Roman"/>
          <w:sz w:val="24"/>
          <w:szCs w:val="24"/>
        </w:rPr>
      </w:pPr>
      <w:r>
        <w:rPr>
          <w:rFonts w:ascii="Times New Roman" w:hAnsi="Times New Roman" w:cs="Times New Roman"/>
          <w:sz w:val="24"/>
          <w:szCs w:val="24"/>
        </w:rPr>
        <w:t>Ces différents résultats permettent de confirmer l’effet positif de l’appui du MCA analysé sous l’angle d’aide pour le commerce, sur les importations béninoises. Ils appellent une poursuite des réformes de facilitation des échanges au Port Autonome de Cotonou, lesquelles garantissent sa compétitivité dans le temps. Dans la même perspective, s’inscrit l’intensification des investissements nécessaire</w:t>
      </w:r>
      <w:r w:rsidR="00A05915">
        <w:rPr>
          <w:rFonts w:ascii="Times New Roman" w:hAnsi="Times New Roman" w:cs="Times New Roman"/>
          <w:sz w:val="24"/>
          <w:szCs w:val="24"/>
        </w:rPr>
        <w:t>s</w:t>
      </w:r>
      <w:r>
        <w:rPr>
          <w:rFonts w:ascii="Times New Roman" w:hAnsi="Times New Roman" w:cs="Times New Roman"/>
          <w:sz w:val="24"/>
          <w:szCs w:val="24"/>
        </w:rPr>
        <w:t xml:space="preserve"> pour optimiser l’utilisation des ouvrages réalisés sur la plateforme portuaire notamment, mais aussi sur les voies du corridor desservant les pays de l’hinterland. Ces réformes sont complémentaires à celles qui visent principalement l’environnement des affaires dans le domaine du commerce transfrontalier. Les résultats militent en faveur du deuxième compact du programme MCA pour lequel le Bénin est éligible et dont les investissements permettront d’impacter d’autres secteurs de l’économie.  </w:t>
      </w:r>
    </w:p>
    <w:p w:rsidR="005D76AB" w:rsidRPr="005D76AB" w:rsidRDefault="005D76AB" w:rsidP="00B05677">
      <w:pPr>
        <w:pStyle w:val="Paragraphedeliste"/>
        <w:numPr>
          <w:ilvl w:val="0"/>
          <w:numId w:val="8"/>
        </w:numPr>
        <w:spacing w:before="120" w:after="120"/>
        <w:jc w:val="both"/>
        <w:rPr>
          <w:rFonts w:ascii="Times New Roman" w:hAnsi="Times New Roman" w:cs="Times New Roman"/>
          <w:b/>
          <w:sz w:val="24"/>
          <w:szCs w:val="24"/>
        </w:rPr>
      </w:pPr>
      <w:r w:rsidRPr="005D76AB">
        <w:rPr>
          <w:rFonts w:ascii="Times New Roman" w:hAnsi="Times New Roman" w:cs="Times New Roman"/>
          <w:b/>
          <w:sz w:val="24"/>
          <w:szCs w:val="24"/>
        </w:rPr>
        <w:lastRenderedPageBreak/>
        <w:t>Conclusion</w:t>
      </w:r>
    </w:p>
    <w:p w:rsidR="00806A7E" w:rsidRDefault="00806A7E" w:rsidP="00806A7E">
      <w:pPr>
        <w:spacing w:before="120" w:after="120"/>
        <w:jc w:val="both"/>
        <w:rPr>
          <w:rFonts w:ascii="Times New Roman" w:hAnsi="Times New Roman" w:cs="Times New Roman"/>
          <w:sz w:val="24"/>
          <w:szCs w:val="24"/>
        </w:rPr>
      </w:pPr>
      <w:r w:rsidRPr="005456F7">
        <w:rPr>
          <w:rFonts w:ascii="Times New Roman" w:hAnsi="Times New Roman" w:cs="Times New Roman"/>
          <w:sz w:val="24"/>
          <w:szCs w:val="24"/>
        </w:rPr>
        <w:t xml:space="preserve">L’importance du </w:t>
      </w:r>
      <w:r>
        <w:rPr>
          <w:rFonts w:ascii="Times New Roman" w:hAnsi="Times New Roman" w:cs="Times New Roman"/>
          <w:sz w:val="24"/>
          <w:szCs w:val="24"/>
        </w:rPr>
        <w:t>PAC</w:t>
      </w:r>
      <w:r w:rsidRPr="005456F7">
        <w:rPr>
          <w:rFonts w:ascii="Times New Roman" w:hAnsi="Times New Roman" w:cs="Times New Roman"/>
          <w:sz w:val="24"/>
          <w:szCs w:val="24"/>
        </w:rPr>
        <w:t xml:space="preserve"> dans l’économie du Bénin est continuellement en hausse alors même que pendant plusieurs années, sa compétitivité a été remise en cause, du fait de la grande concurrence régionale mais aussi, du sous-équipement en infrastructures modernes</w:t>
      </w:r>
      <w:r>
        <w:rPr>
          <w:rFonts w:ascii="Times New Roman" w:hAnsi="Times New Roman" w:cs="Times New Roman"/>
          <w:sz w:val="24"/>
          <w:szCs w:val="24"/>
        </w:rPr>
        <w:t xml:space="preserve"> (MCA Bénin, 2012)</w:t>
      </w:r>
      <w:r w:rsidRPr="005456F7">
        <w:rPr>
          <w:rFonts w:ascii="Times New Roman" w:hAnsi="Times New Roman" w:cs="Times New Roman"/>
          <w:sz w:val="24"/>
          <w:szCs w:val="24"/>
        </w:rPr>
        <w:t xml:space="preserve">. Engorgement, multiplicité de procédures </w:t>
      </w:r>
      <w:r>
        <w:rPr>
          <w:rFonts w:ascii="Times New Roman" w:hAnsi="Times New Roman" w:cs="Times New Roman"/>
          <w:sz w:val="24"/>
          <w:szCs w:val="24"/>
        </w:rPr>
        <w:t>impliquant d’importants coûts de transaction formels ou informels</w:t>
      </w:r>
      <w:r w:rsidRPr="005456F7">
        <w:rPr>
          <w:rFonts w:ascii="Times New Roman" w:hAnsi="Times New Roman" w:cs="Times New Roman"/>
          <w:sz w:val="24"/>
          <w:szCs w:val="24"/>
        </w:rPr>
        <w:t xml:space="preserve">, complexité du processus </w:t>
      </w:r>
      <w:r>
        <w:rPr>
          <w:rFonts w:ascii="Times New Roman" w:hAnsi="Times New Roman" w:cs="Times New Roman"/>
          <w:sz w:val="24"/>
          <w:szCs w:val="24"/>
        </w:rPr>
        <w:t>avec des</w:t>
      </w:r>
      <w:r w:rsidRPr="005456F7">
        <w:rPr>
          <w:rFonts w:ascii="Times New Roman" w:hAnsi="Times New Roman" w:cs="Times New Roman"/>
          <w:sz w:val="24"/>
          <w:szCs w:val="24"/>
        </w:rPr>
        <w:t xml:space="preserve"> perte</w:t>
      </w:r>
      <w:r>
        <w:rPr>
          <w:rFonts w:ascii="Times New Roman" w:hAnsi="Times New Roman" w:cs="Times New Roman"/>
          <w:sz w:val="24"/>
          <w:szCs w:val="24"/>
        </w:rPr>
        <w:t>s</w:t>
      </w:r>
      <w:r w:rsidRPr="005456F7">
        <w:rPr>
          <w:rFonts w:ascii="Times New Roman" w:hAnsi="Times New Roman" w:cs="Times New Roman"/>
          <w:sz w:val="24"/>
          <w:szCs w:val="24"/>
        </w:rPr>
        <w:t xml:space="preserve"> de temps pour insuffisance de dématérialisation</w:t>
      </w:r>
      <w:r>
        <w:rPr>
          <w:rFonts w:ascii="Times New Roman" w:hAnsi="Times New Roman" w:cs="Times New Roman"/>
          <w:sz w:val="24"/>
          <w:szCs w:val="24"/>
        </w:rPr>
        <w:t>,</w:t>
      </w:r>
      <w:r w:rsidRPr="005456F7">
        <w:rPr>
          <w:rFonts w:ascii="Times New Roman" w:hAnsi="Times New Roman" w:cs="Times New Roman"/>
          <w:sz w:val="24"/>
          <w:szCs w:val="24"/>
        </w:rPr>
        <w:t xml:space="preserve"> </w:t>
      </w:r>
      <w:r>
        <w:rPr>
          <w:rFonts w:ascii="Times New Roman" w:hAnsi="Times New Roman" w:cs="Times New Roman"/>
          <w:sz w:val="24"/>
          <w:szCs w:val="24"/>
        </w:rPr>
        <w:t xml:space="preserve">sont donc </w:t>
      </w:r>
      <w:r w:rsidRPr="005456F7">
        <w:rPr>
          <w:rFonts w:ascii="Times New Roman" w:hAnsi="Times New Roman" w:cs="Times New Roman"/>
          <w:sz w:val="24"/>
          <w:szCs w:val="24"/>
        </w:rPr>
        <w:t xml:space="preserve">caractéristiques des opérations portuaires. </w:t>
      </w:r>
      <w:r w:rsidRPr="00E3108B">
        <w:rPr>
          <w:rFonts w:ascii="Times New Roman" w:hAnsi="Times New Roman" w:cs="Times New Roman"/>
          <w:sz w:val="24"/>
          <w:szCs w:val="24"/>
        </w:rPr>
        <w:t>L’environne</w:t>
      </w:r>
      <w:r>
        <w:rPr>
          <w:rFonts w:ascii="Times New Roman" w:hAnsi="Times New Roman" w:cs="Times New Roman"/>
          <w:sz w:val="24"/>
          <w:szCs w:val="24"/>
        </w:rPr>
        <w:t>ment concurrentiel dans la sous-</w:t>
      </w:r>
      <w:r w:rsidRPr="00E3108B">
        <w:rPr>
          <w:rFonts w:ascii="Times New Roman" w:hAnsi="Times New Roman" w:cs="Times New Roman"/>
          <w:sz w:val="24"/>
          <w:szCs w:val="24"/>
        </w:rPr>
        <w:t xml:space="preserve">région avec les ports voisins reste aussi une forte contrainte à laquelle, le Bénin doit répondre par des réformes de facilitation des échanges avec ces pays. </w:t>
      </w:r>
      <w:r w:rsidRPr="005456F7">
        <w:rPr>
          <w:rFonts w:ascii="Times New Roman" w:hAnsi="Times New Roman" w:cs="Times New Roman"/>
          <w:sz w:val="24"/>
          <w:szCs w:val="24"/>
        </w:rPr>
        <w:t>Depuis 2006</w:t>
      </w:r>
      <w:r>
        <w:rPr>
          <w:rFonts w:ascii="Times New Roman" w:hAnsi="Times New Roman" w:cs="Times New Roman"/>
          <w:sz w:val="24"/>
          <w:szCs w:val="24"/>
        </w:rPr>
        <w:t xml:space="preserve"> et sur une période de cinq ans,</w:t>
      </w:r>
      <w:r w:rsidRPr="005456F7">
        <w:rPr>
          <w:rFonts w:ascii="Times New Roman" w:hAnsi="Times New Roman" w:cs="Times New Roman"/>
          <w:sz w:val="24"/>
          <w:szCs w:val="24"/>
        </w:rPr>
        <w:t xml:space="preserve"> avec son éligibilité au Programme américain "Millenium Challenge </w:t>
      </w:r>
      <w:proofErr w:type="spellStart"/>
      <w:r w:rsidRPr="005456F7">
        <w:rPr>
          <w:rFonts w:ascii="Times New Roman" w:hAnsi="Times New Roman" w:cs="Times New Roman"/>
          <w:sz w:val="24"/>
          <w:szCs w:val="24"/>
        </w:rPr>
        <w:t>Account</w:t>
      </w:r>
      <w:proofErr w:type="spellEnd"/>
      <w:r w:rsidRPr="005456F7">
        <w:rPr>
          <w:rFonts w:ascii="Times New Roman" w:hAnsi="Times New Roman" w:cs="Times New Roman"/>
          <w:sz w:val="24"/>
          <w:szCs w:val="24"/>
        </w:rPr>
        <w:t>"</w:t>
      </w:r>
      <w:r>
        <w:rPr>
          <w:rFonts w:ascii="Times New Roman" w:hAnsi="Times New Roman" w:cs="Times New Roman"/>
          <w:sz w:val="24"/>
          <w:szCs w:val="24"/>
        </w:rPr>
        <w:t xml:space="preserve"> (MCA)</w:t>
      </w:r>
      <w:r w:rsidRPr="005456F7">
        <w:rPr>
          <w:rFonts w:ascii="Times New Roman" w:hAnsi="Times New Roman" w:cs="Times New Roman"/>
          <w:sz w:val="24"/>
          <w:szCs w:val="24"/>
        </w:rPr>
        <w:t>, le Bénin a choisi d’orienter la subvention essentiellement vers la composante "accès aux marchés" avec différents investissements et réformes intervenus</w:t>
      </w:r>
      <w:r>
        <w:rPr>
          <w:rFonts w:ascii="Times New Roman" w:hAnsi="Times New Roman" w:cs="Times New Roman"/>
          <w:sz w:val="24"/>
          <w:szCs w:val="24"/>
        </w:rPr>
        <w:t xml:space="preserve"> dans le domaine portuaire</w:t>
      </w:r>
      <w:r w:rsidRPr="005456F7">
        <w:rPr>
          <w:rFonts w:ascii="Times New Roman" w:hAnsi="Times New Roman" w:cs="Times New Roman"/>
          <w:sz w:val="24"/>
          <w:szCs w:val="24"/>
        </w:rPr>
        <w:t xml:space="preserve">. Fondamentalement, le Programme a contribué à lever les principaux obstacles à la croissance </w:t>
      </w:r>
      <w:r>
        <w:rPr>
          <w:rFonts w:ascii="Times New Roman" w:hAnsi="Times New Roman" w:cs="Times New Roman"/>
          <w:sz w:val="24"/>
          <w:szCs w:val="24"/>
        </w:rPr>
        <w:t xml:space="preserve">économique </w:t>
      </w:r>
      <w:r w:rsidRPr="005456F7">
        <w:rPr>
          <w:rFonts w:ascii="Times New Roman" w:hAnsi="Times New Roman" w:cs="Times New Roman"/>
          <w:sz w:val="24"/>
          <w:szCs w:val="24"/>
        </w:rPr>
        <w:t xml:space="preserve">et à soutenir l’amélioration des infrastructures physiques et institutionnelles : </w:t>
      </w:r>
      <w:r>
        <w:rPr>
          <w:rFonts w:ascii="Times New Roman" w:hAnsi="Times New Roman" w:cs="Times New Roman"/>
          <w:sz w:val="24"/>
          <w:szCs w:val="24"/>
        </w:rPr>
        <w:t xml:space="preserve">le </w:t>
      </w:r>
      <w:r w:rsidRPr="005456F7">
        <w:rPr>
          <w:rFonts w:ascii="Times New Roman" w:hAnsi="Times New Roman" w:cs="Times New Roman"/>
          <w:sz w:val="24"/>
          <w:szCs w:val="24"/>
        </w:rPr>
        <w:t xml:space="preserve">prolongement d’épi d’arrêt, </w:t>
      </w:r>
      <w:r>
        <w:rPr>
          <w:rFonts w:ascii="Times New Roman" w:hAnsi="Times New Roman" w:cs="Times New Roman"/>
          <w:sz w:val="24"/>
          <w:szCs w:val="24"/>
        </w:rPr>
        <w:t xml:space="preserve">la </w:t>
      </w:r>
      <w:r w:rsidRPr="005456F7">
        <w:rPr>
          <w:rFonts w:ascii="Times New Roman" w:hAnsi="Times New Roman" w:cs="Times New Roman"/>
          <w:sz w:val="24"/>
          <w:szCs w:val="24"/>
        </w:rPr>
        <w:t xml:space="preserve">construction de deux nouveaux postes à quai, </w:t>
      </w:r>
      <w:r>
        <w:rPr>
          <w:rFonts w:ascii="Times New Roman" w:hAnsi="Times New Roman" w:cs="Times New Roman"/>
          <w:sz w:val="24"/>
          <w:szCs w:val="24"/>
        </w:rPr>
        <w:t xml:space="preserve">la </w:t>
      </w:r>
      <w:r w:rsidRPr="005456F7">
        <w:rPr>
          <w:rFonts w:ascii="Times New Roman" w:hAnsi="Times New Roman" w:cs="Times New Roman"/>
          <w:sz w:val="24"/>
          <w:szCs w:val="24"/>
        </w:rPr>
        <w:t xml:space="preserve">confortation d’anciens quais, </w:t>
      </w:r>
      <w:r>
        <w:rPr>
          <w:rFonts w:ascii="Times New Roman" w:hAnsi="Times New Roman" w:cs="Times New Roman"/>
          <w:sz w:val="24"/>
          <w:szCs w:val="24"/>
        </w:rPr>
        <w:t>l’</w:t>
      </w:r>
      <w:r w:rsidRPr="005456F7">
        <w:rPr>
          <w:rFonts w:ascii="Times New Roman" w:hAnsi="Times New Roman" w:cs="Times New Roman"/>
          <w:sz w:val="24"/>
          <w:szCs w:val="24"/>
        </w:rPr>
        <w:t xml:space="preserve">aménagement de voies, </w:t>
      </w:r>
      <w:r>
        <w:rPr>
          <w:rFonts w:ascii="Times New Roman" w:hAnsi="Times New Roman" w:cs="Times New Roman"/>
          <w:sz w:val="24"/>
          <w:szCs w:val="24"/>
        </w:rPr>
        <w:t>l’</w:t>
      </w:r>
      <w:r w:rsidRPr="005456F7">
        <w:rPr>
          <w:rFonts w:ascii="Times New Roman" w:hAnsi="Times New Roman" w:cs="Times New Roman"/>
          <w:sz w:val="24"/>
          <w:szCs w:val="24"/>
        </w:rPr>
        <w:t>acquisition de remorques.</w:t>
      </w:r>
    </w:p>
    <w:p w:rsidR="00806A7E" w:rsidRDefault="0089203F" w:rsidP="00806A7E">
      <w:pPr>
        <w:spacing w:before="120" w:after="120"/>
        <w:jc w:val="both"/>
        <w:rPr>
          <w:rFonts w:ascii="Times New Roman" w:hAnsi="Times New Roman" w:cs="Times New Roman"/>
          <w:sz w:val="24"/>
          <w:szCs w:val="24"/>
        </w:rPr>
      </w:pPr>
      <w:r w:rsidRPr="005456F7">
        <w:rPr>
          <w:rFonts w:ascii="Times New Roman" w:hAnsi="Times New Roman" w:cs="Times New Roman"/>
          <w:sz w:val="24"/>
          <w:szCs w:val="24"/>
        </w:rPr>
        <w:t xml:space="preserve">Le MCA est une série d’investissements stratégiques visant à améliorer les infrastructures physiques et institutionnelles de base puis à accroître l’investissement et l’activité du secteur privé. D’une valeur d’environ </w:t>
      </w:r>
      <w:r>
        <w:rPr>
          <w:rFonts w:ascii="Times New Roman" w:hAnsi="Times New Roman" w:cs="Times New Roman"/>
          <w:sz w:val="24"/>
          <w:szCs w:val="24"/>
        </w:rPr>
        <w:t>307.298</w:t>
      </w:r>
      <w:r w:rsidRPr="005456F7">
        <w:rPr>
          <w:rFonts w:ascii="Times New Roman" w:hAnsi="Times New Roman" w:cs="Times New Roman"/>
          <w:sz w:val="24"/>
          <w:szCs w:val="24"/>
        </w:rPr>
        <w:t xml:space="preserve"> millions de dollars US, la principale composante du Programme reste le "Projet Marchés" avec </w:t>
      </w:r>
      <w:r>
        <w:rPr>
          <w:rFonts w:ascii="Times New Roman" w:hAnsi="Times New Roman" w:cs="Times New Roman"/>
          <w:sz w:val="24"/>
          <w:szCs w:val="24"/>
        </w:rPr>
        <w:t>61</w:t>
      </w:r>
      <w:r w:rsidRPr="005456F7">
        <w:rPr>
          <w:rFonts w:ascii="Times New Roman" w:hAnsi="Times New Roman" w:cs="Times New Roman"/>
          <w:sz w:val="24"/>
          <w:szCs w:val="24"/>
        </w:rPr>
        <w:t>% des subventions</w:t>
      </w:r>
      <w:r>
        <w:rPr>
          <w:rFonts w:ascii="Times New Roman" w:hAnsi="Times New Roman" w:cs="Times New Roman"/>
          <w:sz w:val="24"/>
          <w:szCs w:val="24"/>
        </w:rPr>
        <w:t xml:space="preserve"> accordées dans le cadre de l’initiative (MCA Bénin, 2012)</w:t>
      </w:r>
      <w:r w:rsidRPr="005456F7">
        <w:rPr>
          <w:rFonts w:ascii="Times New Roman" w:hAnsi="Times New Roman" w:cs="Times New Roman"/>
          <w:sz w:val="24"/>
          <w:szCs w:val="24"/>
        </w:rPr>
        <w:t xml:space="preserve">. </w:t>
      </w:r>
      <w:r>
        <w:rPr>
          <w:rFonts w:ascii="Times New Roman" w:hAnsi="Times New Roman" w:cs="Times New Roman"/>
          <w:sz w:val="24"/>
          <w:szCs w:val="24"/>
        </w:rPr>
        <w:t>Fondamentalement, e</w:t>
      </w:r>
      <w:r w:rsidRPr="005456F7">
        <w:rPr>
          <w:rFonts w:ascii="Times New Roman" w:hAnsi="Times New Roman" w:cs="Times New Roman"/>
          <w:sz w:val="24"/>
          <w:szCs w:val="24"/>
        </w:rPr>
        <w:t>lle vise à promouvoir l’accès aux marchés par une amélioration des opérations portuaires et des infrastructures</w:t>
      </w:r>
      <w:r>
        <w:rPr>
          <w:rFonts w:ascii="Times New Roman" w:hAnsi="Times New Roman" w:cs="Times New Roman"/>
          <w:sz w:val="24"/>
          <w:szCs w:val="24"/>
        </w:rPr>
        <w:t xml:space="preserve">. Elle cherche </w:t>
      </w:r>
      <w:r w:rsidRPr="005456F7">
        <w:rPr>
          <w:rFonts w:ascii="Times New Roman" w:hAnsi="Times New Roman" w:cs="Times New Roman"/>
          <w:sz w:val="24"/>
          <w:szCs w:val="24"/>
        </w:rPr>
        <w:t xml:space="preserve">en outre à améliorer la </w:t>
      </w:r>
      <w:r>
        <w:rPr>
          <w:rFonts w:ascii="Times New Roman" w:hAnsi="Times New Roman" w:cs="Times New Roman"/>
          <w:sz w:val="24"/>
          <w:szCs w:val="24"/>
        </w:rPr>
        <w:t xml:space="preserve">compétitivité, la </w:t>
      </w:r>
      <w:r w:rsidRPr="005456F7">
        <w:rPr>
          <w:rFonts w:ascii="Times New Roman" w:hAnsi="Times New Roman" w:cs="Times New Roman"/>
          <w:sz w:val="24"/>
          <w:szCs w:val="24"/>
        </w:rPr>
        <w:t>performance et la sécurité portuaire</w:t>
      </w:r>
      <w:r>
        <w:rPr>
          <w:rFonts w:ascii="Times New Roman" w:hAnsi="Times New Roman" w:cs="Times New Roman"/>
          <w:sz w:val="24"/>
          <w:szCs w:val="24"/>
        </w:rPr>
        <w:t>s grâce à la modernisation des infrastructures, des systèmes de gestion et des réformes institutionnelles</w:t>
      </w:r>
      <w:r w:rsidRPr="005456F7">
        <w:rPr>
          <w:rFonts w:ascii="Times New Roman" w:hAnsi="Times New Roman" w:cs="Times New Roman"/>
          <w:sz w:val="24"/>
          <w:szCs w:val="24"/>
        </w:rPr>
        <w:t>,</w:t>
      </w:r>
      <w:r>
        <w:rPr>
          <w:rFonts w:ascii="Times New Roman" w:hAnsi="Times New Roman" w:cs="Times New Roman"/>
          <w:sz w:val="24"/>
          <w:szCs w:val="24"/>
        </w:rPr>
        <w:t xml:space="preserve"> de façon à</w:t>
      </w:r>
      <w:r w:rsidRPr="005456F7">
        <w:rPr>
          <w:rFonts w:ascii="Times New Roman" w:hAnsi="Times New Roman" w:cs="Times New Roman"/>
          <w:sz w:val="24"/>
          <w:szCs w:val="24"/>
        </w:rPr>
        <w:t xml:space="preserve"> accroître sa capacité et réduire les coûts de transaction.</w:t>
      </w:r>
      <w:r w:rsidR="00806A7E">
        <w:rPr>
          <w:rFonts w:ascii="Times New Roman" w:hAnsi="Times New Roman" w:cs="Times New Roman"/>
          <w:sz w:val="24"/>
          <w:szCs w:val="24"/>
        </w:rPr>
        <w:t xml:space="preserve"> Dans cette perspective, la subvention américaine s’insère parfaitement dans le cadre de l’aide pour le commerce. </w:t>
      </w:r>
      <w:r w:rsidR="00806A7E" w:rsidRPr="005456F7">
        <w:rPr>
          <w:rFonts w:ascii="Times New Roman" w:hAnsi="Times New Roman" w:cs="Times New Roman"/>
          <w:sz w:val="24"/>
          <w:szCs w:val="24"/>
        </w:rPr>
        <w:t xml:space="preserve">L’objectif de cette étude est d’identifier les effets </w:t>
      </w:r>
      <w:r w:rsidR="00806A7E">
        <w:rPr>
          <w:rFonts w:ascii="Times New Roman" w:hAnsi="Times New Roman" w:cs="Times New Roman"/>
          <w:sz w:val="24"/>
          <w:szCs w:val="24"/>
        </w:rPr>
        <w:t xml:space="preserve">potentiels </w:t>
      </w:r>
      <w:r w:rsidR="00806A7E" w:rsidRPr="005456F7">
        <w:rPr>
          <w:rFonts w:ascii="Times New Roman" w:hAnsi="Times New Roman" w:cs="Times New Roman"/>
          <w:sz w:val="24"/>
          <w:szCs w:val="24"/>
        </w:rPr>
        <w:t>des réformes entreprises dans le domaine du Port Autonome de Cotonou et du commerce transfrontalier</w:t>
      </w:r>
      <w:r w:rsidR="00806A7E">
        <w:rPr>
          <w:rFonts w:ascii="Times New Roman" w:hAnsi="Times New Roman" w:cs="Times New Roman"/>
          <w:sz w:val="24"/>
          <w:szCs w:val="24"/>
        </w:rPr>
        <w:t xml:space="preserve"> dans le cadre du Programme MCA</w:t>
      </w:r>
      <w:r w:rsidR="00806A7E" w:rsidRPr="005456F7">
        <w:rPr>
          <w:rFonts w:ascii="Times New Roman" w:hAnsi="Times New Roman" w:cs="Times New Roman"/>
          <w:sz w:val="24"/>
          <w:szCs w:val="24"/>
        </w:rPr>
        <w:t>.</w:t>
      </w:r>
    </w:p>
    <w:p w:rsidR="004E1B52" w:rsidRDefault="005C6B3E" w:rsidP="005C6B3E">
      <w:pPr>
        <w:spacing w:before="120" w:after="120"/>
        <w:jc w:val="both"/>
        <w:rPr>
          <w:rFonts w:ascii="Times New Roman" w:hAnsi="Times New Roman" w:cs="Times New Roman"/>
          <w:sz w:val="24"/>
        </w:rPr>
      </w:pPr>
      <w:r>
        <w:rPr>
          <w:rFonts w:ascii="Times New Roman" w:eastAsia="Calibri" w:hAnsi="Times New Roman" w:cs="Times New Roman"/>
          <w:sz w:val="24"/>
          <w:szCs w:val="24"/>
        </w:rPr>
        <w:t xml:space="preserve">Pour y arriver, la méthodologie s’inspire largement de la matrice des éléments, indicateurs et sources proposée par </w:t>
      </w:r>
      <w:proofErr w:type="spellStart"/>
      <w:r w:rsidRPr="00DB723F">
        <w:rPr>
          <w:rFonts w:ascii="Times New Roman" w:eastAsia="Calibri" w:hAnsi="Times New Roman" w:cs="Times New Roman"/>
          <w:sz w:val="24"/>
          <w:szCs w:val="24"/>
        </w:rPr>
        <w:t>Adhikari</w:t>
      </w:r>
      <w:proofErr w:type="spellEnd"/>
      <w:r w:rsidRPr="00DB723F">
        <w:rPr>
          <w:rFonts w:ascii="Times New Roman" w:eastAsia="Calibri" w:hAnsi="Times New Roman" w:cs="Times New Roman"/>
          <w:sz w:val="24"/>
          <w:szCs w:val="24"/>
        </w:rPr>
        <w:t xml:space="preserve"> (2011)</w:t>
      </w:r>
      <w:r>
        <w:rPr>
          <w:rFonts w:ascii="Times New Roman" w:eastAsia="Calibri" w:hAnsi="Times New Roman" w:cs="Times New Roman"/>
          <w:sz w:val="24"/>
          <w:szCs w:val="24"/>
        </w:rPr>
        <w:t xml:space="preserve"> pour apprécier les effets de l’aide pour le commerce. </w:t>
      </w:r>
      <w:r w:rsidRPr="005456F7">
        <w:rPr>
          <w:rFonts w:ascii="Times New Roman" w:eastAsia="Calibri" w:hAnsi="Times New Roman" w:cs="Times New Roman"/>
          <w:sz w:val="24"/>
          <w:szCs w:val="24"/>
        </w:rPr>
        <w:t xml:space="preserve">La méthodologie </w:t>
      </w:r>
      <w:r>
        <w:rPr>
          <w:rFonts w:ascii="Times New Roman" w:eastAsia="Calibri" w:hAnsi="Times New Roman" w:cs="Times New Roman"/>
          <w:sz w:val="24"/>
          <w:szCs w:val="24"/>
        </w:rPr>
        <w:t xml:space="preserve">inclut </w:t>
      </w:r>
      <w:r w:rsidRPr="005456F7">
        <w:rPr>
          <w:rFonts w:ascii="Times New Roman" w:eastAsia="Calibri" w:hAnsi="Times New Roman" w:cs="Times New Roman"/>
          <w:sz w:val="24"/>
          <w:szCs w:val="24"/>
        </w:rPr>
        <w:t>deux approches</w:t>
      </w:r>
      <w:r>
        <w:rPr>
          <w:rFonts w:ascii="Times New Roman" w:eastAsia="Calibri" w:hAnsi="Times New Roman" w:cs="Times New Roman"/>
          <w:sz w:val="24"/>
          <w:szCs w:val="24"/>
        </w:rPr>
        <w:t xml:space="preserve"> </w:t>
      </w:r>
      <w:r w:rsidR="00BD6248">
        <w:rPr>
          <w:rFonts w:ascii="Times New Roman" w:eastAsia="Calibri" w:hAnsi="Times New Roman" w:cs="Times New Roman"/>
          <w:sz w:val="24"/>
          <w:szCs w:val="24"/>
        </w:rPr>
        <w:t>: (1) l</w:t>
      </w:r>
      <w:r w:rsidR="00BD6248">
        <w:rPr>
          <w:rFonts w:ascii="Times New Roman" w:hAnsi="Times New Roman" w:cs="Times New Roman"/>
          <w:sz w:val="24"/>
          <w:szCs w:val="26"/>
        </w:rPr>
        <w:t>a dynamique d’évolution des variables de performances du Port est appréciée dans le temps</w:t>
      </w:r>
      <w:r w:rsidR="00BD6248" w:rsidRPr="005456F7">
        <w:rPr>
          <w:rFonts w:ascii="Times New Roman" w:hAnsi="Times New Roman" w:cs="Times New Roman"/>
          <w:sz w:val="24"/>
          <w:szCs w:val="24"/>
        </w:rPr>
        <w:t xml:space="preserve"> en termes de gains de temps et de réduction des coûts de transaction dans les opérations portuaires</w:t>
      </w:r>
      <w:r w:rsidR="00BD6248">
        <w:rPr>
          <w:rFonts w:ascii="Times New Roman" w:hAnsi="Times New Roman" w:cs="Times New Roman"/>
          <w:sz w:val="24"/>
          <w:szCs w:val="24"/>
        </w:rPr>
        <w:t xml:space="preserve"> et (2)</w:t>
      </w:r>
      <w:r w:rsidR="005D696E">
        <w:rPr>
          <w:rFonts w:ascii="Times New Roman" w:hAnsi="Times New Roman" w:cs="Times New Roman"/>
          <w:sz w:val="24"/>
          <w:szCs w:val="24"/>
        </w:rPr>
        <w:t xml:space="preserve"> </w:t>
      </w:r>
      <w:r w:rsidR="00430487">
        <w:rPr>
          <w:rFonts w:ascii="Times New Roman" w:hAnsi="Times New Roman" w:cs="Times New Roman"/>
          <w:sz w:val="24"/>
          <w:szCs w:val="24"/>
        </w:rPr>
        <w:t xml:space="preserve">après un test de causalité au sens de Granger, </w:t>
      </w:r>
      <w:r w:rsidR="00BD6248" w:rsidRPr="005456F7">
        <w:rPr>
          <w:rFonts w:ascii="Times New Roman" w:eastAsia="Calibri" w:hAnsi="Times New Roman" w:cs="Times New Roman"/>
          <w:sz w:val="24"/>
          <w:szCs w:val="24"/>
        </w:rPr>
        <w:t>l’effet des réfo</w:t>
      </w:r>
      <w:r w:rsidR="00BD6248">
        <w:rPr>
          <w:rFonts w:ascii="Times New Roman" w:eastAsia="Calibri" w:hAnsi="Times New Roman" w:cs="Times New Roman"/>
          <w:sz w:val="24"/>
          <w:szCs w:val="24"/>
        </w:rPr>
        <w:t>rmes sur le volume des échanges est apprécié par</w:t>
      </w:r>
      <w:r w:rsidR="005D696E">
        <w:rPr>
          <w:rFonts w:ascii="Times New Roman" w:eastAsia="Calibri" w:hAnsi="Times New Roman" w:cs="Times New Roman"/>
          <w:sz w:val="24"/>
          <w:szCs w:val="24"/>
        </w:rPr>
        <w:t xml:space="preserve"> </w:t>
      </w:r>
      <w:r w:rsidR="00BD6248">
        <w:rPr>
          <w:rFonts w:ascii="Times New Roman" w:eastAsia="Calibri" w:hAnsi="Times New Roman" w:cs="Times New Roman"/>
          <w:sz w:val="24"/>
          <w:szCs w:val="24"/>
        </w:rPr>
        <w:t>u</w:t>
      </w:r>
      <w:r w:rsidR="00BD6248" w:rsidRPr="005456F7">
        <w:rPr>
          <w:rFonts w:ascii="Times New Roman" w:eastAsia="Calibri" w:hAnsi="Times New Roman" w:cs="Times New Roman"/>
          <w:sz w:val="24"/>
          <w:szCs w:val="24"/>
        </w:rPr>
        <w:t>n modèle empirique</w:t>
      </w:r>
      <w:r w:rsidR="005D696E">
        <w:rPr>
          <w:rFonts w:ascii="Times New Roman" w:eastAsia="Calibri" w:hAnsi="Times New Roman" w:cs="Times New Roman"/>
          <w:sz w:val="24"/>
          <w:szCs w:val="24"/>
        </w:rPr>
        <w:t xml:space="preserve"> </w:t>
      </w:r>
      <w:r w:rsidR="00BD6248">
        <w:rPr>
          <w:rFonts w:ascii="Times New Roman" w:eastAsia="Calibri" w:hAnsi="Times New Roman" w:cs="Times New Roman"/>
          <w:sz w:val="24"/>
          <w:szCs w:val="24"/>
        </w:rPr>
        <w:t>inspiré de Cali et te Velde (2010) puis Collier et Dollar (2002). </w:t>
      </w:r>
      <w:r w:rsidR="004E1B52">
        <w:rPr>
          <w:rFonts w:ascii="Times New Roman" w:eastAsia="Calibri" w:hAnsi="Times New Roman" w:cs="Times New Roman"/>
          <w:sz w:val="24"/>
          <w:szCs w:val="24"/>
        </w:rPr>
        <w:t xml:space="preserve">L’analyse de la dynamique de l’aide </w:t>
      </w:r>
      <w:r w:rsidR="005F72F3">
        <w:rPr>
          <w:rFonts w:ascii="Times New Roman" w:hAnsi="Times New Roman" w:cs="Times New Roman"/>
          <w:sz w:val="24"/>
        </w:rPr>
        <w:t>montre le respect du principe d’</w:t>
      </w:r>
      <w:proofErr w:type="spellStart"/>
      <w:r w:rsidR="005F72F3">
        <w:rPr>
          <w:rFonts w:ascii="Times New Roman" w:hAnsi="Times New Roman" w:cs="Times New Roman"/>
          <w:sz w:val="24"/>
        </w:rPr>
        <w:t>additionalité</w:t>
      </w:r>
      <w:proofErr w:type="spellEnd"/>
      <w:r w:rsidR="005F72F3">
        <w:rPr>
          <w:rFonts w:ascii="Times New Roman" w:hAnsi="Times New Roman" w:cs="Times New Roman"/>
          <w:sz w:val="24"/>
        </w:rPr>
        <w:t xml:space="preserve"> suivant lequel, </w:t>
      </w:r>
      <w:r w:rsidR="005F72F3" w:rsidRPr="005F72F3">
        <w:rPr>
          <w:rFonts w:ascii="Times New Roman" w:hAnsi="Times New Roman" w:cs="Times New Roman"/>
          <w:sz w:val="24"/>
        </w:rPr>
        <w:t xml:space="preserve">la composante accès au marché du projet </w:t>
      </w:r>
      <w:r w:rsidR="005F72F3">
        <w:rPr>
          <w:rFonts w:ascii="Times New Roman" w:hAnsi="Times New Roman" w:cs="Times New Roman"/>
          <w:sz w:val="24"/>
        </w:rPr>
        <w:t>MCA a</w:t>
      </w:r>
      <w:r w:rsidR="005F72F3" w:rsidRPr="005F72F3">
        <w:rPr>
          <w:rFonts w:ascii="Times New Roman" w:hAnsi="Times New Roman" w:cs="Times New Roman"/>
          <w:sz w:val="24"/>
        </w:rPr>
        <w:t xml:space="preserve"> permis de relever substantiellement le niveau de l’aide pour le commerce </w:t>
      </w:r>
      <w:r w:rsidR="005F72F3">
        <w:rPr>
          <w:rFonts w:ascii="Times New Roman" w:hAnsi="Times New Roman" w:cs="Times New Roman"/>
          <w:sz w:val="24"/>
        </w:rPr>
        <w:t>au Bénin</w:t>
      </w:r>
      <w:r w:rsidR="005F72F3" w:rsidRPr="005F72F3">
        <w:rPr>
          <w:rFonts w:ascii="Times New Roman" w:hAnsi="Times New Roman" w:cs="Times New Roman"/>
          <w:sz w:val="24"/>
        </w:rPr>
        <w:t xml:space="preserve"> sur toute la période d’exécution</w:t>
      </w:r>
      <w:r w:rsidR="005F72F3">
        <w:rPr>
          <w:rFonts w:ascii="Times New Roman" w:hAnsi="Times New Roman" w:cs="Times New Roman"/>
          <w:sz w:val="24"/>
        </w:rPr>
        <w:t xml:space="preserve"> ; ce qui autorise bien une </w:t>
      </w:r>
      <w:r w:rsidR="005F72F3" w:rsidRPr="005F72F3">
        <w:rPr>
          <w:rFonts w:ascii="Times New Roman" w:hAnsi="Times New Roman" w:cs="Times New Roman"/>
          <w:sz w:val="24"/>
        </w:rPr>
        <w:t>appréci</w:t>
      </w:r>
      <w:r w:rsidR="005F72F3">
        <w:rPr>
          <w:rFonts w:ascii="Times New Roman" w:hAnsi="Times New Roman" w:cs="Times New Roman"/>
          <w:sz w:val="24"/>
        </w:rPr>
        <w:t xml:space="preserve">ation de </w:t>
      </w:r>
      <w:r w:rsidR="005F72F3" w:rsidRPr="005F72F3">
        <w:rPr>
          <w:rFonts w:ascii="Times New Roman" w:hAnsi="Times New Roman" w:cs="Times New Roman"/>
          <w:sz w:val="24"/>
        </w:rPr>
        <w:t>cet appui sous l’angle d’une aide pour le commerce.</w:t>
      </w:r>
      <w:r w:rsidR="005F72F3">
        <w:rPr>
          <w:rFonts w:ascii="Times New Roman" w:hAnsi="Times New Roman" w:cs="Times New Roman"/>
          <w:sz w:val="24"/>
        </w:rPr>
        <w:t xml:space="preserve"> </w:t>
      </w:r>
    </w:p>
    <w:p w:rsidR="005F72F3" w:rsidRDefault="005F72F3" w:rsidP="005C6B3E">
      <w:pPr>
        <w:spacing w:before="120" w:after="120"/>
        <w:jc w:val="both"/>
        <w:rPr>
          <w:rFonts w:ascii="Times New Roman" w:eastAsia="Calibri" w:hAnsi="Times New Roman" w:cs="Times New Roman"/>
          <w:sz w:val="24"/>
          <w:szCs w:val="24"/>
        </w:rPr>
      </w:pPr>
      <w:r>
        <w:rPr>
          <w:rFonts w:ascii="Times New Roman" w:hAnsi="Times New Roman" w:cs="Times New Roman"/>
          <w:sz w:val="24"/>
        </w:rPr>
        <w:lastRenderedPageBreak/>
        <w:t xml:space="preserve">Des indicateurs de performance ont été analysés pour mettre en relief les effets potentiels de l’aide ; il s’agit notamment du trafic de marchandises, du temps moyen d’attente des navires en rade et à quai. </w:t>
      </w:r>
      <w:r w:rsidR="004E1B52">
        <w:rPr>
          <w:rFonts w:ascii="Times New Roman" w:hAnsi="Times New Roman" w:cs="Times New Roman"/>
          <w:sz w:val="24"/>
        </w:rPr>
        <w:t>L</w:t>
      </w:r>
      <w:r w:rsidRPr="00303B38">
        <w:rPr>
          <w:rFonts w:ascii="Times New Roman" w:hAnsi="Times New Roman" w:cs="Times New Roman"/>
          <w:sz w:val="24"/>
        </w:rPr>
        <w:t xml:space="preserve">e trafic de marchandises </w:t>
      </w:r>
      <w:r w:rsidR="004E1B52">
        <w:rPr>
          <w:rFonts w:ascii="Times New Roman" w:hAnsi="Times New Roman" w:cs="Times New Roman"/>
          <w:sz w:val="24"/>
        </w:rPr>
        <w:t xml:space="preserve">est </w:t>
      </w:r>
      <w:r w:rsidRPr="00303B38">
        <w:rPr>
          <w:rFonts w:ascii="Times New Roman" w:hAnsi="Times New Roman" w:cs="Times New Roman"/>
          <w:sz w:val="24"/>
        </w:rPr>
        <w:t>pass</w:t>
      </w:r>
      <w:r w:rsidR="004E1B52">
        <w:rPr>
          <w:rFonts w:ascii="Times New Roman" w:hAnsi="Times New Roman" w:cs="Times New Roman"/>
          <w:sz w:val="24"/>
        </w:rPr>
        <w:t>ant</w:t>
      </w:r>
      <w:r w:rsidRPr="00303B38">
        <w:rPr>
          <w:rFonts w:ascii="Times New Roman" w:hAnsi="Times New Roman" w:cs="Times New Roman"/>
          <w:sz w:val="24"/>
        </w:rPr>
        <w:t xml:space="preserve"> par le p</w:t>
      </w:r>
      <w:r>
        <w:rPr>
          <w:rFonts w:ascii="Times New Roman" w:hAnsi="Times New Roman" w:cs="Times New Roman"/>
          <w:sz w:val="24"/>
        </w:rPr>
        <w:t>ort de Cotonou a progressé de 2.</w:t>
      </w:r>
      <w:r w:rsidRPr="00303B38">
        <w:rPr>
          <w:rFonts w:ascii="Times New Roman" w:hAnsi="Times New Roman" w:cs="Times New Roman"/>
          <w:sz w:val="24"/>
        </w:rPr>
        <w:t>8 tonnes métriques au cours des 5 années du programme</w:t>
      </w:r>
      <w:r>
        <w:rPr>
          <w:rFonts w:ascii="Times New Roman" w:hAnsi="Times New Roman" w:cs="Times New Roman"/>
          <w:sz w:val="24"/>
        </w:rPr>
        <w:t xml:space="preserve"> passant de 4.1 à 6.9 tonnes métriques, </w:t>
      </w:r>
      <w:r w:rsidRPr="006C4C36">
        <w:rPr>
          <w:rFonts w:ascii="Times New Roman" w:hAnsi="Times New Roman" w:cs="Times New Roman"/>
          <w:sz w:val="24"/>
        </w:rPr>
        <w:t>soit un taux d’accroissement annuel de 13.65% en moyenne,</w:t>
      </w:r>
      <w:r>
        <w:rPr>
          <w:rFonts w:ascii="Times New Roman" w:hAnsi="Times New Roman" w:cs="Times New Roman"/>
          <w:sz w:val="24"/>
        </w:rPr>
        <w:t xml:space="preserve"> </w:t>
      </w:r>
      <w:r w:rsidR="006C4C36">
        <w:rPr>
          <w:rFonts w:ascii="Times New Roman" w:hAnsi="Times New Roman" w:cs="Times New Roman"/>
          <w:sz w:val="24"/>
        </w:rPr>
        <w:t xml:space="preserve">cette </w:t>
      </w:r>
      <w:r w:rsidRPr="00303B38">
        <w:rPr>
          <w:rFonts w:ascii="Times New Roman" w:hAnsi="Times New Roman" w:cs="Times New Roman"/>
          <w:sz w:val="24"/>
        </w:rPr>
        <w:t>évolution à la hausse du trafic dev</w:t>
      </w:r>
      <w:r w:rsidR="006C4C36">
        <w:rPr>
          <w:rFonts w:ascii="Times New Roman" w:hAnsi="Times New Roman" w:cs="Times New Roman"/>
          <w:sz w:val="24"/>
        </w:rPr>
        <w:t>ant</w:t>
      </w:r>
      <w:r w:rsidRPr="00303B38">
        <w:rPr>
          <w:rFonts w:ascii="Times New Roman" w:hAnsi="Times New Roman" w:cs="Times New Roman"/>
          <w:sz w:val="24"/>
        </w:rPr>
        <w:t xml:space="preserve"> se confirmer avec la mise en exploitation des investissements réalisés.</w:t>
      </w:r>
      <w:r>
        <w:rPr>
          <w:rFonts w:ascii="Times New Roman" w:hAnsi="Times New Roman" w:cs="Times New Roman"/>
          <w:sz w:val="24"/>
        </w:rPr>
        <w:t xml:space="preserve"> </w:t>
      </w:r>
      <w:r w:rsidR="006C4C36">
        <w:rPr>
          <w:rFonts w:ascii="Times New Roman" w:hAnsi="Times New Roman" w:cs="Times New Roman"/>
          <w:sz w:val="24"/>
        </w:rPr>
        <w:t xml:space="preserve">Si le </w:t>
      </w:r>
      <w:r w:rsidRPr="002279BE">
        <w:rPr>
          <w:rFonts w:ascii="Times New Roman" w:hAnsi="Times New Roman" w:cs="Times New Roman"/>
          <w:sz w:val="24"/>
        </w:rPr>
        <w:t xml:space="preserve">temps moyen d’attente des navires porte-conteneurs en rade </w:t>
      </w:r>
      <w:r>
        <w:rPr>
          <w:rFonts w:ascii="Times New Roman" w:hAnsi="Times New Roman" w:cs="Times New Roman"/>
          <w:sz w:val="24"/>
        </w:rPr>
        <w:t>n’a pas été considérablement réduit pendant la période d’exécution</w:t>
      </w:r>
      <w:r w:rsidR="006C4C36">
        <w:rPr>
          <w:rFonts w:ascii="Times New Roman" w:hAnsi="Times New Roman" w:cs="Times New Roman"/>
          <w:sz w:val="24"/>
        </w:rPr>
        <w:t>,</w:t>
      </w:r>
      <w:r>
        <w:rPr>
          <w:rFonts w:ascii="Times New Roman" w:hAnsi="Times New Roman" w:cs="Times New Roman"/>
          <w:sz w:val="24"/>
        </w:rPr>
        <w:t> </w:t>
      </w:r>
      <w:r w:rsidRPr="006C4C36">
        <w:rPr>
          <w:rFonts w:ascii="Times New Roman" w:hAnsi="Times New Roman" w:cs="Times New Roman"/>
          <w:sz w:val="24"/>
        </w:rPr>
        <w:t>la durée moyenne de séjour des navires porte-conteneurs à quai a diminué dans le temps dans l’ordre de 6.9% en moyenne annuelle</w:t>
      </w:r>
      <w:r>
        <w:rPr>
          <w:rFonts w:ascii="Times New Roman" w:hAnsi="Times New Roman" w:cs="Times New Roman"/>
          <w:sz w:val="24"/>
        </w:rPr>
        <w:t xml:space="preserve"> passant </w:t>
      </w:r>
      <w:r w:rsidR="00A05915">
        <w:rPr>
          <w:rFonts w:ascii="Times New Roman" w:hAnsi="Times New Roman" w:cs="Times New Roman"/>
          <w:sz w:val="24"/>
        </w:rPr>
        <w:t>de 2 en 2006 à 1.31 jours en 2011</w:t>
      </w:r>
      <w:r w:rsidRPr="002279BE">
        <w:rPr>
          <w:rFonts w:ascii="Times New Roman" w:hAnsi="Times New Roman" w:cs="Times New Roman"/>
          <w:sz w:val="24"/>
        </w:rPr>
        <w:t xml:space="preserve">. </w:t>
      </w:r>
      <w:r>
        <w:rPr>
          <w:rFonts w:ascii="Times New Roman" w:hAnsi="Times New Roman" w:cs="Times New Roman"/>
          <w:sz w:val="24"/>
        </w:rPr>
        <w:t>Cette tendance reste compatible avec la baisse du temps moyen nécessaire à l’importation</w:t>
      </w:r>
      <w:r w:rsidR="006C4C36">
        <w:rPr>
          <w:rFonts w:ascii="Times New Roman" w:hAnsi="Times New Roman" w:cs="Times New Roman"/>
          <w:sz w:val="24"/>
        </w:rPr>
        <w:t xml:space="preserve"> notamment</w:t>
      </w:r>
      <w:r>
        <w:rPr>
          <w:rFonts w:ascii="Times New Roman" w:hAnsi="Times New Roman" w:cs="Times New Roman"/>
          <w:sz w:val="24"/>
        </w:rPr>
        <w:t xml:space="preserve">. </w:t>
      </w:r>
      <w:r w:rsidR="006C4C36">
        <w:rPr>
          <w:rFonts w:ascii="Times New Roman" w:hAnsi="Times New Roman" w:cs="Times New Roman"/>
          <w:sz w:val="24"/>
          <w:szCs w:val="24"/>
        </w:rPr>
        <w:t xml:space="preserve">Par ailleurs, </w:t>
      </w:r>
      <w:r w:rsidR="00C054CD">
        <w:rPr>
          <w:rFonts w:ascii="Times New Roman" w:hAnsi="Times New Roman" w:cs="Times New Roman"/>
          <w:sz w:val="24"/>
          <w:szCs w:val="24"/>
        </w:rPr>
        <w:t xml:space="preserve">les résultats </w:t>
      </w:r>
      <w:r w:rsidR="006C4C36">
        <w:rPr>
          <w:rFonts w:ascii="Times New Roman" w:hAnsi="Times New Roman" w:cs="Times New Roman"/>
          <w:sz w:val="24"/>
          <w:szCs w:val="24"/>
        </w:rPr>
        <w:t>montre</w:t>
      </w:r>
      <w:r w:rsidR="00C054CD">
        <w:rPr>
          <w:rFonts w:ascii="Times New Roman" w:hAnsi="Times New Roman" w:cs="Times New Roman"/>
          <w:sz w:val="24"/>
          <w:szCs w:val="24"/>
        </w:rPr>
        <w:t>nt</w:t>
      </w:r>
      <w:r w:rsidR="006C4C36">
        <w:rPr>
          <w:rFonts w:ascii="Times New Roman" w:hAnsi="Times New Roman" w:cs="Times New Roman"/>
          <w:sz w:val="24"/>
          <w:szCs w:val="24"/>
        </w:rPr>
        <w:t xml:space="preserve"> que </w:t>
      </w:r>
      <w:r w:rsidRPr="006C4C36">
        <w:rPr>
          <w:rFonts w:ascii="Times New Roman" w:hAnsi="Times New Roman" w:cs="Times New Roman"/>
          <w:sz w:val="24"/>
          <w:szCs w:val="24"/>
        </w:rPr>
        <w:t>la mise en œuvre des investissements de réformes et de facilitation au PAC dans le cadre du programme MCA pourrait s’accompagner d’une hausse du coût de traitement des opérations portuaires dans l’ordre de 0.66% et 2.17% en moyenne annuelle pour les exportations et importations respectivement.</w:t>
      </w:r>
      <w:r>
        <w:rPr>
          <w:rFonts w:ascii="Times New Roman" w:hAnsi="Times New Roman" w:cs="Times New Roman"/>
          <w:sz w:val="24"/>
          <w:szCs w:val="24"/>
        </w:rPr>
        <w:t xml:space="preserve"> </w:t>
      </w:r>
      <w:r w:rsidR="006C4C36">
        <w:rPr>
          <w:rFonts w:ascii="Times New Roman" w:hAnsi="Times New Roman" w:cs="Times New Roman"/>
          <w:sz w:val="24"/>
          <w:szCs w:val="24"/>
        </w:rPr>
        <w:t>E</w:t>
      </w:r>
      <w:r>
        <w:rPr>
          <w:rFonts w:ascii="Times New Roman" w:hAnsi="Times New Roman" w:cs="Times New Roman"/>
          <w:sz w:val="24"/>
          <w:szCs w:val="24"/>
        </w:rPr>
        <w:t>n termes clairs, à la réduction des délais et temps de traitement s’oppose une augmentation des coûts de traitement : c’est pourquoi, la réduction des coûts de transaction liée au gain de temps devient importante pour apprécier globalement l’impact des réformes et politiques de facilitation sur les coûts au PAC.</w:t>
      </w:r>
      <w:r w:rsidR="006C4C36">
        <w:rPr>
          <w:rFonts w:ascii="Times New Roman" w:hAnsi="Times New Roman" w:cs="Times New Roman"/>
          <w:sz w:val="24"/>
          <w:szCs w:val="24"/>
        </w:rPr>
        <w:t xml:space="preserve"> </w:t>
      </w:r>
    </w:p>
    <w:p w:rsidR="00624AD2" w:rsidRDefault="006C4C36" w:rsidP="00624AD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Le test de causalité a permis de conforter ces premiers résultats : l’aide pour le commerce cause non seulement, le temps et le coût de traitement des conteneurs à l’importation au PAC, mais aussi les importations. Sur cette base, on conclut que des variations dans l’aide pour le commerce affecteraient directement les coûts et les durées de traitement des conteneurs à l’importation puis indirectement, les quantités de marchandises importées au Bénin dans la période. </w:t>
      </w:r>
      <w:r>
        <w:rPr>
          <w:rFonts w:ascii="Times New Roman" w:eastAsia="Calibri" w:hAnsi="Times New Roman" w:cs="Times New Roman"/>
          <w:sz w:val="24"/>
          <w:szCs w:val="24"/>
        </w:rPr>
        <w:t>En référence à Cali et te Velde (2010) puis Collier et Dollar (2002), u</w:t>
      </w:r>
      <w:r>
        <w:rPr>
          <w:rFonts w:ascii="Times New Roman" w:hAnsi="Times New Roman" w:cs="Times New Roman"/>
          <w:sz w:val="24"/>
          <w:szCs w:val="24"/>
        </w:rPr>
        <w:t xml:space="preserve">ne régression de la variable </w:t>
      </w:r>
      <w:r w:rsidRPr="00C20228">
        <w:rPr>
          <w:rFonts w:ascii="Times New Roman" w:hAnsi="Times New Roman" w:cs="Times New Roman"/>
          <w:i/>
          <w:sz w:val="24"/>
          <w:szCs w:val="24"/>
        </w:rPr>
        <w:t>M</w:t>
      </w:r>
      <w:r>
        <w:rPr>
          <w:rFonts w:ascii="Times New Roman" w:hAnsi="Times New Roman" w:cs="Times New Roman"/>
          <w:sz w:val="24"/>
          <w:szCs w:val="24"/>
        </w:rPr>
        <w:t xml:space="preserve"> sur ces exogènes est faite pour corroborer cette intuition</w:t>
      </w:r>
      <w:r w:rsidR="00EE6213">
        <w:rPr>
          <w:rFonts w:ascii="Times New Roman" w:hAnsi="Times New Roman" w:cs="Times New Roman"/>
          <w:sz w:val="24"/>
          <w:szCs w:val="24"/>
        </w:rPr>
        <w:t>, l’estimation étant faite avec et sans la subvention du MCA</w:t>
      </w:r>
      <w:r>
        <w:rPr>
          <w:rFonts w:ascii="Times New Roman" w:hAnsi="Times New Roman" w:cs="Times New Roman"/>
          <w:sz w:val="24"/>
          <w:szCs w:val="24"/>
        </w:rPr>
        <w:t>.</w:t>
      </w:r>
      <w:r w:rsidR="00EE6213">
        <w:rPr>
          <w:rFonts w:ascii="Times New Roman" w:hAnsi="Times New Roman" w:cs="Times New Roman"/>
          <w:sz w:val="24"/>
          <w:szCs w:val="24"/>
        </w:rPr>
        <w:t xml:space="preserve"> </w:t>
      </w:r>
      <w:r>
        <w:rPr>
          <w:rFonts w:ascii="Times New Roman" w:hAnsi="Times New Roman" w:cs="Times New Roman"/>
          <w:sz w:val="24"/>
          <w:szCs w:val="24"/>
        </w:rPr>
        <w:t>Globalement,</w:t>
      </w:r>
      <w:r w:rsidR="00EE6213" w:rsidRPr="00EE6213">
        <w:rPr>
          <w:rFonts w:ascii="Times New Roman" w:hAnsi="Times New Roman" w:cs="Times New Roman"/>
          <w:sz w:val="24"/>
          <w:szCs w:val="24"/>
        </w:rPr>
        <w:t xml:space="preserve"> </w:t>
      </w:r>
      <w:r w:rsidR="00EE6213">
        <w:rPr>
          <w:rFonts w:ascii="Times New Roman" w:hAnsi="Times New Roman" w:cs="Times New Roman"/>
          <w:sz w:val="24"/>
          <w:szCs w:val="24"/>
        </w:rPr>
        <w:t>l’importance de la subvention dans l’explication de la dynamique des importations au Bénin depuis son avènement en 2006</w:t>
      </w:r>
      <w:r>
        <w:rPr>
          <w:rFonts w:ascii="Times New Roman" w:hAnsi="Times New Roman" w:cs="Times New Roman"/>
          <w:sz w:val="24"/>
          <w:szCs w:val="24"/>
        </w:rPr>
        <w:t xml:space="preserve"> </w:t>
      </w:r>
      <w:r w:rsidR="00EE6213">
        <w:rPr>
          <w:rFonts w:ascii="Times New Roman" w:hAnsi="Times New Roman" w:cs="Times New Roman"/>
          <w:sz w:val="24"/>
          <w:szCs w:val="24"/>
        </w:rPr>
        <w:t>est mise en évidence. L</w:t>
      </w:r>
      <w:r>
        <w:rPr>
          <w:rFonts w:ascii="Times New Roman" w:hAnsi="Times New Roman" w:cs="Times New Roman"/>
          <w:sz w:val="24"/>
          <w:szCs w:val="24"/>
        </w:rPr>
        <w:t xml:space="preserve">es résultats confirment les prédictions de l’analyse des tendances et du test de causalité, à savoir l’effet positif de l’aide pour le commerce (avec ou sans subvention du MCA) sur les importations au Bénin d’une part, puis l’effet négatif du temps et du coût de traitement par conteneur sur les importations d’autre part. </w:t>
      </w:r>
      <w:r w:rsidR="00EE6213">
        <w:rPr>
          <w:rFonts w:ascii="Times New Roman" w:hAnsi="Times New Roman" w:cs="Times New Roman"/>
          <w:sz w:val="24"/>
          <w:szCs w:val="24"/>
        </w:rPr>
        <w:t xml:space="preserve">Les </w:t>
      </w:r>
      <w:r>
        <w:rPr>
          <w:rFonts w:ascii="Times New Roman" w:hAnsi="Times New Roman" w:cs="Times New Roman"/>
          <w:sz w:val="24"/>
          <w:szCs w:val="24"/>
        </w:rPr>
        <w:t>élasticité</w:t>
      </w:r>
      <w:r w:rsidR="00EE6213">
        <w:rPr>
          <w:rFonts w:ascii="Times New Roman" w:hAnsi="Times New Roman" w:cs="Times New Roman"/>
          <w:sz w:val="24"/>
          <w:szCs w:val="24"/>
        </w:rPr>
        <w:t>s estimées significatives</w:t>
      </w:r>
      <w:r>
        <w:rPr>
          <w:rFonts w:ascii="Times New Roman" w:hAnsi="Times New Roman" w:cs="Times New Roman"/>
          <w:sz w:val="24"/>
          <w:szCs w:val="24"/>
        </w:rPr>
        <w:t xml:space="preserve"> confirm</w:t>
      </w:r>
      <w:r w:rsidR="00EE6213">
        <w:rPr>
          <w:rFonts w:ascii="Times New Roman" w:hAnsi="Times New Roman" w:cs="Times New Roman"/>
          <w:sz w:val="24"/>
          <w:szCs w:val="24"/>
        </w:rPr>
        <w:t>ent</w:t>
      </w:r>
      <w:r>
        <w:rPr>
          <w:rFonts w:ascii="Times New Roman" w:hAnsi="Times New Roman" w:cs="Times New Roman"/>
          <w:sz w:val="24"/>
          <w:szCs w:val="24"/>
        </w:rPr>
        <w:t xml:space="preserve"> </w:t>
      </w:r>
      <w:r w:rsidR="00EE6213">
        <w:rPr>
          <w:rFonts w:ascii="Times New Roman" w:hAnsi="Times New Roman" w:cs="Times New Roman"/>
          <w:sz w:val="24"/>
          <w:szCs w:val="24"/>
        </w:rPr>
        <w:t xml:space="preserve">par ailleurs, </w:t>
      </w:r>
      <w:r>
        <w:rPr>
          <w:rFonts w:ascii="Times New Roman" w:hAnsi="Times New Roman" w:cs="Times New Roman"/>
          <w:sz w:val="24"/>
          <w:szCs w:val="24"/>
        </w:rPr>
        <w:t>une hausse des importations plus grande lorsque la subvention du MCA est considérée dans l’estimati</w:t>
      </w:r>
      <w:r w:rsidR="00EE6213">
        <w:rPr>
          <w:rFonts w:ascii="Times New Roman" w:hAnsi="Times New Roman" w:cs="Times New Roman"/>
          <w:sz w:val="24"/>
          <w:szCs w:val="24"/>
        </w:rPr>
        <w:t>on ;</w:t>
      </w:r>
      <w:r>
        <w:rPr>
          <w:rFonts w:ascii="Times New Roman" w:hAnsi="Times New Roman" w:cs="Times New Roman"/>
          <w:sz w:val="24"/>
          <w:szCs w:val="24"/>
        </w:rPr>
        <w:t xml:space="preserve"> </w:t>
      </w:r>
      <w:r w:rsidR="00EE6213">
        <w:rPr>
          <w:rFonts w:ascii="Times New Roman" w:hAnsi="Times New Roman" w:cs="Times New Roman"/>
          <w:sz w:val="24"/>
          <w:szCs w:val="24"/>
        </w:rPr>
        <w:t>i</w:t>
      </w:r>
      <w:r>
        <w:rPr>
          <w:rFonts w:ascii="Times New Roman" w:hAnsi="Times New Roman" w:cs="Times New Roman"/>
          <w:sz w:val="24"/>
          <w:szCs w:val="24"/>
        </w:rPr>
        <w:t>l en est de même du carré des variables de l’aide pour le commerce pour lequel, le coefficient n’est pas significatif dans le premier scénario mais significatif dans le second.</w:t>
      </w:r>
      <w:r w:rsidR="00624AD2">
        <w:rPr>
          <w:rFonts w:ascii="Times New Roman" w:hAnsi="Times New Roman" w:cs="Times New Roman"/>
          <w:sz w:val="24"/>
          <w:szCs w:val="24"/>
        </w:rPr>
        <w:t xml:space="preserve"> </w:t>
      </w:r>
      <w:r w:rsidR="005C1359">
        <w:rPr>
          <w:rFonts w:ascii="Times New Roman" w:hAnsi="Times New Roman" w:cs="Times New Roman"/>
          <w:sz w:val="24"/>
          <w:szCs w:val="24"/>
        </w:rPr>
        <w:t>Ces résultats appellent une poursuite des réformes de facilitation des échanges au Port Autonome de Cotonou, lesquelles garantissent sa compétitivité dans le temps.</w:t>
      </w:r>
    </w:p>
    <w:p w:rsidR="005819C3" w:rsidRDefault="005819C3" w:rsidP="00624AD2">
      <w:pPr>
        <w:spacing w:before="120" w:after="120"/>
        <w:jc w:val="both"/>
        <w:rPr>
          <w:rFonts w:ascii="Times New Roman" w:hAnsi="Times New Roman" w:cs="Times New Roman"/>
          <w:sz w:val="24"/>
          <w:szCs w:val="24"/>
        </w:rPr>
      </w:pPr>
    </w:p>
    <w:p w:rsidR="005819C3" w:rsidRDefault="005819C3" w:rsidP="00624AD2">
      <w:pPr>
        <w:spacing w:before="120" w:after="120"/>
        <w:jc w:val="both"/>
        <w:rPr>
          <w:rFonts w:ascii="Times New Roman" w:hAnsi="Times New Roman" w:cs="Times New Roman"/>
          <w:sz w:val="24"/>
          <w:szCs w:val="24"/>
        </w:rPr>
      </w:pPr>
    </w:p>
    <w:p w:rsidR="005819C3" w:rsidRDefault="005819C3" w:rsidP="00624AD2">
      <w:pPr>
        <w:spacing w:before="120" w:after="120"/>
        <w:jc w:val="both"/>
        <w:rPr>
          <w:rFonts w:ascii="Times New Roman" w:hAnsi="Times New Roman" w:cs="Times New Roman"/>
          <w:sz w:val="24"/>
          <w:szCs w:val="24"/>
        </w:rPr>
      </w:pPr>
    </w:p>
    <w:p w:rsidR="00B730EE" w:rsidRPr="008767E7" w:rsidRDefault="00B730EE" w:rsidP="00D30974">
      <w:pPr>
        <w:spacing w:before="120" w:after="120"/>
        <w:jc w:val="both"/>
        <w:rPr>
          <w:rFonts w:ascii="Times New Roman" w:hAnsi="Times New Roman" w:cs="Times New Roman"/>
          <w:b/>
          <w:sz w:val="24"/>
          <w:szCs w:val="24"/>
        </w:rPr>
      </w:pPr>
    </w:p>
    <w:p w:rsidR="00E22CA3" w:rsidRPr="008767E7" w:rsidRDefault="009E2CA6" w:rsidP="00D30974">
      <w:pPr>
        <w:spacing w:before="120" w:after="120"/>
        <w:jc w:val="both"/>
        <w:rPr>
          <w:rFonts w:ascii="Times New Roman" w:hAnsi="Times New Roman" w:cs="Times New Roman"/>
          <w:b/>
          <w:sz w:val="24"/>
          <w:szCs w:val="24"/>
          <w:lang w:val="en-US"/>
        </w:rPr>
      </w:pPr>
      <w:proofErr w:type="spellStart"/>
      <w:r w:rsidRPr="008767E7">
        <w:rPr>
          <w:rFonts w:ascii="Times New Roman" w:hAnsi="Times New Roman" w:cs="Times New Roman"/>
          <w:b/>
          <w:sz w:val="24"/>
          <w:szCs w:val="24"/>
          <w:lang w:val="en-US"/>
        </w:rPr>
        <w:lastRenderedPageBreak/>
        <w:t>Références</w:t>
      </w:r>
      <w:proofErr w:type="spellEnd"/>
      <w:r w:rsidR="00597CC2" w:rsidRPr="008767E7">
        <w:rPr>
          <w:rFonts w:ascii="Times New Roman" w:hAnsi="Times New Roman" w:cs="Times New Roman"/>
          <w:b/>
          <w:sz w:val="24"/>
          <w:szCs w:val="24"/>
          <w:lang w:val="en-US"/>
        </w:rPr>
        <w:t xml:space="preserve"> </w:t>
      </w:r>
      <w:proofErr w:type="spellStart"/>
      <w:r w:rsidR="00C054CD" w:rsidRPr="008767E7">
        <w:rPr>
          <w:rFonts w:ascii="Times New Roman" w:hAnsi="Times New Roman" w:cs="Times New Roman"/>
          <w:b/>
          <w:sz w:val="24"/>
          <w:szCs w:val="24"/>
          <w:lang w:val="en-US"/>
        </w:rPr>
        <w:t>bibliographiques</w:t>
      </w:r>
      <w:proofErr w:type="spellEnd"/>
    </w:p>
    <w:p w:rsidR="00DA468C" w:rsidRPr="00DA468C" w:rsidRDefault="00DA468C" w:rsidP="00DA468C">
      <w:pPr>
        <w:spacing w:before="120" w:after="120"/>
        <w:jc w:val="both"/>
        <w:rPr>
          <w:rFonts w:ascii="Times New Roman" w:hAnsi="Times New Roman" w:cs="Times New Roman"/>
          <w:sz w:val="24"/>
          <w:szCs w:val="24"/>
          <w:lang w:val="en-US"/>
        </w:rPr>
      </w:pPr>
      <w:r w:rsidRPr="00DA468C">
        <w:rPr>
          <w:rFonts w:ascii="Times New Roman" w:hAnsi="Times New Roman" w:cs="Times New Roman"/>
          <w:sz w:val="24"/>
          <w:szCs w:val="24"/>
          <w:lang w:val="en-US"/>
        </w:rPr>
        <w:t xml:space="preserve">Adam C. S. and O'Connell S. A. (2004), "Aid versus Trade Revisited: Donor and Recipient Policies in the Presence of Learning-by-Doing", </w:t>
      </w:r>
      <w:r w:rsidRPr="005C1359">
        <w:rPr>
          <w:rFonts w:ascii="Times New Roman" w:hAnsi="Times New Roman" w:cs="Times New Roman"/>
          <w:i/>
          <w:sz w:val="24"/>
          <w:szCs w:val="24"/>
          <w:lang w:val="en-US"/>
        </w:rPr>
        <w:t>The Economic Journal</w:t>
      </w:r>
      <w:r w:rsidRPr="00DA468C">
        <w:rPr>
          <w:rFonts w:ascii="Times New Roman" w:hAnsi="Times New Roman" w:cs="Times New Roman"/>
          <w:sz w:val="24"/>
          <w:szCs w:val="24"/>
          <w:lang w:val="en-US"/>
        </w:rPr>
        <w:t>, Vol. 114, pp.150-173.</w:t>
      </w:r>
    </w:p>
    <w:p w:rsidR="00DA468C" w:rsidRPr="00DA468C" w:rsidRDefault="00DA468C" w:rsidP="00DA468C">
      <w:pPr>
        <w:spacing w:before="120" w:after="120"/>
        <w:jc w:val="both"/>
        <w:rPr>
          <w:rFonts w:ascii="Times New Roman" w:hAnsi="Times New Roman" w:cs="Times New Roman"/>
          <w:sz w:val="24"/>
          <w:szCs w:val="24"/>
          <w:lang w:val="en-US"/>
        </w:rPr>
      </w:pPr>
      <w:proofErr w:type="spellStart"/>
      <w:r w:rsidRPr="00DA468C">
        <w:rPr>
          <w:rFonts w:ascii="Times New Roman" w:hAnsi="Times New Roman" w:cs="Times New Roman"/>
          <w:sz w:val="24"/>
          <w:szCs w:val="24"/>
          <w:lang w:val="en-US"/>
        </w:rPr>
        <w:t>Adhikari</w:t>
      </w:r>
      <w:proofErr w:type="spellEnd"/>
      <w:r w:rsidRPr="00DA468C">
        <w:rPr>
          <w:rFonts w:ascii="Times New Roman" w:hAnsi="Times New Roman" w:cs="Times New Roman"/>
          <w:sz w:val="24"/>
          <w:szCs w:val="24"/>
          <w:lang w:val="en-US"/>
        </w:rPr>
        <w:t xml:space="preserve"> R. (2011), "Evaluating Aid for Trade Effectiveness on the Ground: A Methodological Framework", International Centre for Trade and Sustainable Development.</w:t>
      </w:r>
    </w:p>
    <w:p w:rsidR="00DA468C" w:rsidRPr="00DA468C" w:rsidRDefault="00DA468C" w:rsidP="00DA468C">
      <w:pPr>
        <w:spacing w:before="120" w:after="120"/>
        <w:jc w:val="both"/>
        <w:rPr>
          <w:rFonts w:ascii="Times New Roman" w:hAnsi="Times New Roman" w:cs="Times New Roman"/>
          <w:sz w:val="24"/>
          <w:szCs w:val="24"/>
          <w:lang w:val="en-US"/>
        </w:rPr>
      </w:pPr>
      <w:proofErr w:type="spellStart"/>
      <w:r w:rsidRPr="00DA468C">
        <w:rPr>
          <w:rFonts w:ascii="Times New Roman" w:hAnsi="Times New Roman" w:cs="Times New Roman"/>
          <w:sz w:val="24"/>
          <w:szCs w:val="24"/>
          <w:lang w:val="en-US"/>
        </w:rPr>
        <w:t>Adhikari</w:t>
      </w:r>
      <w:proofErr w:type="spellEnd"/>
      <w:r w:rsidRPr="00DA468C">
        <w:rPr>
          <w:rFonts w:ascii="Times New Roman" w:hAnsi="Times New Roman" w:cs="Times New Roman"/>
          <w:sz w:val="24"/>
          <w:szCs w:val="24"/>
          <w:lang w:val="en-US"/>
        </w:rPr>
        <w:t xml:space="preserve">, R. (2011), ‘‘Evaluating Aid for Trade effectiveness on the ground: A methodological framework’’, </w:t>
      </w:r>
      <w:r w:rsidRPr="00363A8B">
        <w:rPr>
          <w:rFonts w:ascii="Times New Roman" w:hAnsi="Times New Roman" w:cs="Times New Roman"/>
          <w:i/>
          <w:sz w:val="24"/>
          <w:szCs w:val="24"/>
          <w:lang w:val="en-US"/>
        </w:rPr>
        <w:t>Aid for Trade Series Issue</w:t>
      </w:r>
      <w:r w:rsidR="00363A8B">
        <w:rPr>
          <w:rFonts w:ascii="Times New Roman" w:hAnsi="Times New Roman" w:cs="Times New Roman"/>
          <w:i/>
          <w:sz w:val="24"/>
          <w:szCs w:val="24"/>
          <w:lang w:val="en-US"/>
        </w:rPr>
        <w:t>,</w:t>
      </w:r>
      <w:r w:rsidRPr="00363A8B">
        <w:rPr>
          <w:rFonts w:ascii="Times New Roman" w:hAnsi="Times New Roman" w:cs="Times New Roman"/>
          <w:i/>
          <w:sz w:val="24"/>
          <w:szCs w:val="24"/>
          <w:lang w:val="en-US"/>
        </w:rPr>
        <w:t xml:space="preserve"> </w:t>
      </w:r>
      <w:r w:rsidRPr="00DA468C">
        <w:rPr>
          <w:rFonts w:ascii="Times New Roman" w:hAnsi="Times New Roman" w:cs="Times New Roman"/>
          <w:sz w:val="24"/>
          <w:szCs w:val="24"/>
          <w:lang w:val="en-US"/>
        </w:rPr>
        <w:t>Paper 20, Geneva</w:t>
      </w:r>
      <w:r w:rsidR="00363A8B">
        <w:rPr>
          <w:rFonts w:ascii="Times New Roman" w:hAnsi="Times New Roman" w:cs="Times New Roman"/>
          <w:sz w:val="24"/>
          <w:szCs w:val="24"/>
          <w:lang w:val="en-US"/>
        </w:rPr>
        <w:t>,</w:t>
      </w:r>
      <w:r w:rsidRPr="00DA468C">
        <w:rPr>
          <w:rFonts w:ascii="Times New Roman" w:hAnsi="Times New Roman" w:cs="Times New Roman"/>
          <w:sz w:val="24"/>
          <w:szCs w:val="24"/>
          <w:lang w:val="en-US"/>
        </w:rPr>
        <w:t xml:space="preserve"> ICTSD.</w:t>
      </w:r>
    </w:p>
    <w:p w:rsidR="00DA468C" w:rsidRPr="00DA468C" w:rsidRDefault="00DA468C" w:rsidP="00DA468C">
      <w:pPr>
        <w:spacing w:before="120" w:after="120"/>
        <w:jc w:val="both"/>
        <w:rPr>
          <w:rFonts w:ascii="Times New Roman" w:hAnsi="Times New Roman" w:cs="Times New Roman"/>
          <w:sz w:val="24"/>
          <w:szCs w:val="24"/>
          <w:lang w:val="en-US"/>
        </w:rPr>
      </w:pPr>
      <w:proofErr w:type="spellStart"/>
      <w:r w:rsidRPr="00DA468C">
        <w:rPr>
          <w:rFonts w:ascii="Times New Roman" w:hAnsi="Times New Roman" w:cs="Times New Roman"/>
          <w:sz w:val="24"/>
          <w:szCs w:val="24"/>
          <w:lang w:val="en-US"/>
        </w:rPr>
        <w:t>Aho</w:t>
      </w:r>
      <w:proofErr w:type="spellEnd"/>
      <w:r w:rsidRPr="00DA468C">
        <w:rPr>
          <w:rFonts w:ascii="Times New Roman" w:hAnsi="Times New Roman" w:cs="Times New Roman"/>
          <w:sz w:val="24"/>
          <w:szCs w:val="24"/>
          <w:lang w:val="en-US"/>
        </w:rPr>
        <w:t xml:space="preserve"> M. C. and Bayard T. O. (1984), "Costs and Benefit of Trade Adjustment Assistance", In "The Structure and Evolution of Recent U.S. Trade Policy" by Baldwin R. and Krueger A. eds., University of Chicago Press, pp. 153-194.</w:t>
      </w:r>
    </w:p>
    <w:p w:rsidR="00DA468C" w:rsidRPr="00DA468C" w:rsidRDefault="00DA468C" w:rsidP="00DA468C">
      <w:pPr>
        <w:spacing w:before="120" w:after="120"/>
        <w:jc w:val="both"/>
        <w:rPr>
          <w:rFonts w:ascii="Times New Roman" w:hAnsi="Times New Roman" w:cs="Times New Roman"/>
          <w:sz w:val="24"/>
          <w:szCs w:val="24"/>
          <w:lang w:val="en-US"/>
        </w:rPr>
      </w:pPr>
      <w:proofErr w:type="spellStart"/>
      <w:r w:rsidRPr="00DA468C">
        <w:rPr>
          <w:rFonts w:ascii="Times New Roman" w:hAnsi="Times New Roman" w:cs="Times New Roman"/>
          <w:sz w:val="24"/>
          <w:szCs w:val="24"/>
          <w:lang w:val="en-US"/>
        </w:rPr>
        <w:t>Basnett</w:t>
      </w:r>
      <w:proofErr w:type="spellEnd"/>
      <w:r w:rsidRPr="00DA468C">
        <w:rPr>
          <w:rFonts w:ascii="Times New Roman" w:hAnsi="Times New Roman" w:cs="Times New Roman"/>
          <w:sz w:val="24"/>
          <w:szCs w:val="24"/>
          <w:lang w:val="en-US"/>
        </w:rPr>
        <w:t xml:space="preserve"> Y., Engel J., Kennan J., </w:t>
      </w:r>
      <w:proofErr w:type="spellStart"/>
      <w:r w:rsidRPr="00DA468C">
        <w:rPr>
          <w:rFonts w:ascii="Times New Roman" w:hAnsi="Times New Roman" w:cs="Times New Roman"/>
          <w:sz w:val="24"/>
          <w:szCs w:val="24"/>
          <w:lang w:val="en-US"/>
        </w:rPr>
        <w:t>Kingombe</w:t>
      </w:r>
      <w:proofErr w:type="spellEnd"/>
      <w:r w:rsidRPr="00DA468C">
        <w:rPr>
          <w:rFonts w:ascii="Times New Roman" w:hAnsi="Times New Roman" w:cs="Times New Roman"/>
          <w:sz w:val="24"/>
          <w:szCs w:val="24"/>
          <w:lang w:val="en-US"/>
        </w:rPr>
        <w:t xml:space="preserve"> C., Massa I. and </w:t>
      </w:r>
      <w:proofErr w:type="spellStart"/>
      <w:proofErr w:type="gramStart"/>
      <w:r w:rsidRPr="00DA468C">
        <w:rPr>
          <w:rFonts w:ascii="Times New Roman" w:hAnsi="Times New Roman" w:cs="Times New Roman"/>
          <w:sz w:val="24"/>
          <w:szCs w:val="24"/>
          <w:lang w:val="en-US"/>
        </w:rPr>
        <w:t>te</w:t>
      </w:r>
      <w:proofErr w:type="spellEnd"/>
      <w:proofErr w:type="gramEnd"/>
      <w:r w:rsidR="00363A8B">
        <w:rPr>
          <w:rFonts w:ascii="Times New Roman" w:hAnsi="Times New Roman" w:cs="Times New Roman"/>
          <w:sz w:val="24"/>
          <w:szCs w:val="24"/>
          <w:lang w:val="en-US"/>
        </w:rPr>
        <w:t xml:space="preserve"> </w:t>
      </w:r>
      <w:proofErr w:type="spellStart"/>
      <w:r w:rsidRPr="00DA468C">
        <w:rPr>
          <w:rFonts w:ascii="Times New Roman" w:hAnsi="Times New Roman" w:cs="Times New Roman"/>
          <w:sz w:val="24"/>
          <w:szCs w:val="24"/>
          <w:lang w:val="en-US"/>
        </w:rPr>
        <w:t>Velde</w:t>
      </w:r>
      <w:proofErr w:type="spellEnd"/>
      <w:r w:rsidRPr="00DA468C">
        <w:rPr>
          <w:rFonts w:ascii="Times New Roman" w:hAnsi="Times New Roman" w:cs="Times New Roman"/>
          <w:sz w:val="24"/>
          <w:szCs w:val="24"/>
          <w:lang w:val="en-US"/>
        </w:rPr>
        <w:t xml:space="preserve"> D. (2012), "Increasing the Effectiveness of Aid for Trade: the Circumstances under which it Works Best", Working Paper 353, Overseas Development Institute.</w:t>
      </w:r>
    </w:p>
    <w:p w:rsidR="00DA468C" w:rsidRPr="00DA468C" w:rsidRDefault="00363A8B" w:rsidP="00DA468C">
      <w:pPr>
        <w:spacing w:before="120" w:after="1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Bearce</w:t>
      </w:r>
      <w:proofErr w:type="spellEnd"/>
      <w:r w:rsidR="00DA468C" w:rsidRPr="00DA468C">
        <w:rPr>
          <w:rFonts w:ascii="Times New Roman" w:hAnsi="Times New Roman" w:cs="Times New Roman"/>
          <w:sz w:val="24"/>
          <w:szCs w:val="24"/>
          <w:lang w:val="en-US"/>
        </w:rPr>
        <w:t xml:space="preserve"> D., </w:t>
      </w:r>
      <w:proofErr w:type="spellStart"/>
      <w:r w:rsidR="00DA468C" w:rsidRPr="00DA468C">
        <w:rPr>
          <w:rFonts w:ascii="Times New Roman" w:hAnsi="Times New Roman" w:cs="Times New Roman"/>
          <w:sz w:val="24"/>
          <w:szCs w:val="24"/>
          <w:lang w:val="en-US"/>
        </w:rPr>
        <w:t>Finkel</w:t>
      </w:r>
      <w:proofErr w:type="spellEnd"/>
      <w:r w:rsidR="00DA468C" w:rsidRPr="00DA468C">
        <w:rPr>
          <w:rFonts w:ascii="Times New Roman" w:hAnsi="Times New Roman" w:cs="Times New Roman"/>
          <w:sz w:val="24"/>
          <w:szCs w:val="24"/>
          <w:lang w:val="en-US"/>
        </w:rPr>
        <w:t>, S., Perez-</w:t>
      </w:r>
      <w:proofErr w:type="spellStart"/>
      <w:r w:rsidR="00DA468C" w:rsidRPr="00DA468C">
        <w:rPr>
          <w:rFonts w:ascii="Times New Roman" w:hAnsi="Times New Roman" w:cs="Times New Roman"/>
          <w:sz w:val="24"/>
          <w:szCs w:val="24"/>
          <w:lang w:val="en-US"/>
        </w:rPr>
        <w:t>Linan</w:t>
      </w:r>
      <w:proofErr w:type="spellEnd"/>
      <w:r w:rsidR="00DA468C" w:rsidRPr="00DA468C">
        <w:rPr>
          <w:rFonts w:ascii="Times New Roman" w:hAnsi="Times New Roman" w:cs="Times New Roman"/>
          <w:sz w:val="24"/>
          <w:szCs w:val="24"/>
          <w:lang w:val="en-US"/>
        </w:rPr>
        <w:t xml:space="preserve">, A., Rodriguez-Zepeda, J. and </w:t>
      </w:r>
      <w:proofErr w:type="spellStart"/>
      <w:r w:rsidR="00DA468C" w:rsidRPr="00DA468C">
        <w:rPr>
          <w:rFonts w:ascii="Times New Roman" w:hAnsi="Times New Roman" w:cs="Times New Roman"/>
          <w:sz w:val="24"/>
          <w:szCs w:val="24"/>
          <w:lang w:val="en-US"/>
        </w:rPr>
        <w:t>Surzhko</w:t>
      </w:r>
      <w:proofErr w:type="spellEnd"/>
      <w:r w:rsidR="00DA468C" w:rsidRPr="00DA468C">
        <w:rPr>
          <w:rFonts w:ascii="Times New Roman" w:hAnsi="Times New Roman" w:cs="Times New Roman"/>
          <w:sz w:val="24"/>
          <w:szCs w:val="24"/>
          <w:lang w:val="en-US"/>
        </w:rPr>
        <w:t xml:space="preserve">, L. (2012), ‘‘Has Aid for Trade increased recipient exports? </w:t>
      </w:r>
      <w:proofErr w:type="gramStart"/>
      <w:r w:rsidR="00DA468C" w:rsidRPr="00DA468C">
        <w:rPr>
          <w:rFonts w:ascii="Times New Roman" w:hAnsi="Times New Roman" w:cs="Times New Roman"/>
          <w:sz w:val="24"/>
          <w:szCs w:val="24"/>
          <w:lang w:val="en-US"/>
        </w:rPr>
        <w:t xml:space="preserve">The impact of US </w:t>
      </w:r>
      <w:proofErr w:type="spellStart"/>
      <w:r w:rsidR="00DA468C" w:rsidRPr="00DA468C">
        <w:rPr>
          <w:rFonts w:ascii="Times New Roman" w:hAnsi="Times New Roman" w:cs="Times New Roman"/>
          <w:sz w:val="24"/>
          <w:szCs w:val="24"/>
          <w:lang w:val="en-US"/>
        </w:rPr>
        <w:t>AfT</w:t>
      </w:r>
      <w:proofErr w:type="spellEnd"/>
      <w:r w:rsidR="00DA468C" w:rsidRPr="00DA468C">
        <w:rPr>
          <w:rFonts w:ascii="Times New Roman" w:hAnsi="Times New Roman" w:cs="Times New Roman"/>
          <w:sz w:val="24"/>
          <w:szCs w:val="24"/>
          <w:lang w:val="en-US"/>
        </w:rPr>
        <w:t xml:space="preserve"> allocations 1999-2008’’, Report prepared for USAID.</w:t>
      </w:r>
      <w:proofErr w:type="gramEnd"/>
      <w:r w:rsidR="00DA468C" w:rsidRPr="00DA468C">
        <w:rPr>
          <w:rFonts w:ascii="Times New Roman" w:hAnsi="Times New Roman" w:cs="Times New Roman"/>
          <w:sz w:val="24"/>
          <w:szCs w:val="24"/>
          <w:lang w:val="en-US"/>
        </w:rPr>
        <w:t xml:space="preserve"> </w:t>
      </w:r>
    </w:p>
    <w:p w:rsidR="00DA468C" w:rsidRPr="00DA468C" w:rsidRDefault="00363A8B" w:rsidP="00DA468C">
      <w:pPr>
        <w:spacing w:before="120" w:after="1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Berrittella</w:t>
      </w:r>
      <w:proofErr w:type="spellEnd"/>
      <w:r w:rsidR="00DA468C" w:rsidRPr="00DA468C">
        <w:rPr>
          <w:rFonts w:ascii="Times New Roman" w:hAnsi="Times New Roman" w:cs="Times New Roman"/>
          <w:sz w:val="24"/>
          <w:szCs w:val="24"/>
          <w:lang w:val="en-US"/>
        </w:rPr>
        <w:t xml:space="preserve"> M. and Zhang, J. (2012), ‘‘A global perspective on effectiveness of Aid for Trade’’, Policy Research Working Paper 6126, Washington, DC</w:t>
      </w:r>
      <w:r>
        <w:rPr>
          <w:rFonts w:ascii="Times New Roman" w:hAnsi="Times New Roman" w:cs="Times New Roman"/>
          <w:sz w:val="24"/>
          <w:szCs w:val="24"/>
          <w:lang w:val="en-US"/>
        </w:rPr>
        <w:t>,</w:t>
      </w:r>
      <w:r w:rsidR="00DA468C" w:rsidRPr="00DA468C">
        <w:rPr>
          <w:rFonts w:ascii="Times New Roman" w:hAnsi="Times New Roman" w:cs="Times New Roman"/>
          <w:sz w:val="24"/>
          <w:szCs w:val="24"/>
          <w:lang w:val="en-US"/>
        </w:rPr>
        <w:t xml:space="preserve"> World Bank.</w:t>
      </w:r>
      <w:proofErr w:type="gramEnd"/>
      <w:r w:rsidR="00DA468C" w:rsidRPr="00DA468C">
        <w:rPr>
          <w:rFonts w:ascii="Times New Roman" w:hAnsi="Times New Roman" w:cs="Times New Roman"/>
          <w:sz w:val="24"/>
          <w:szCs w:val="24"/>
          <w:lang w:val="en-US"/>
        </w:rPr>
        <w:t xml:space="preserve"> </w:t>
      </w:r>
    </w:p>
    <w:p w:rsidR="00DA468C" w:rsidRPr="00DA468C" w:rsidRDefault="00363A8B" w:rsidP="00DA468C">
      <w:pPr>
        <w:spacing w:before="120"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Brenton P. and von </w:t>
      </w:r>
      <w:proofErr w:type="spellStart"/>
      <w:r>
        <w:rPr>
          <w:rFonts w:ascii="Times New Roman" w:hAnsi="Times New Roman" w:cs="Times New Roman"/>
          <w:sz w:val="24"/>
          <w:szCs w:val="24"/>
          <w:lang w:val="en-US"/>
        </w:rPr>
        <w:t>Uexkull</w:t>
      </w:r>
      <w:proofErr w:type="spellEnd"/>
      <w:r w:rsidR="00DA468C" w:rsidRPr="00DA468C">
        <w:rPr>
          <w:rFonts w:ascii="Times New Roman" w:hAnsi="Times New Roman" w:cs="Times New Roman"/>
          <w:sz w:val="24"/>
          <w:szCs w:val="24"/>
          <w:lang w:val="en-US"/>
        </w:rPr>
        <w:t xml:space="preserve"> E. (2009), ‘‘Product-</w:t>
      </w:r>
      <w:r>
        <w:rPr>
          <w:rFonts w:ascii="Times New Roman" w:hAnsi="Times New Roman" w:cs="Times New Roman"/>
          <w:sz w:val="24"/>
          <w:szCs w:val="24"/>
          <w:lang w:val="en-US"/>
        </w:rPr>
        <w:t>S</w:t>
      </w:r>
      <w:r w:rsidR="00DA468C" w:rsidRPr="00DA468C">
        <w:rPr>
          <w:rFonts w:ascii="Times New Roman" w:hAnsi="Times New Roman" w:cs="Times New Roman"/>
          <w:sz w:val="24"/>
          <w:szCs w:val="24"/>
          <w:lang w:val="en-US"/>
        </w:rPr>
        <w:t xml:space="preserve">pecific </w:t>
      </w:r>
      <w:r>
        <w:rPr>
          <w:rFonts w:ascii="Times New Roman" w:hAnsi="Times New Roman" w:cs="Times New Roman"/>
          <w:sz w:val="24"/>
          <w:szCs w:val="24"/>
          <w:lang w:val="en-US"/>
        </w:rPr>
        <w:t>T</w:t>
      </w:r>
      <w:r w:rsidR="00DA468C" w:rsidRPr="00DA468C">
        <w:rPr>
          <w:rFonts w:ascii="Times New Roman" w:hAnsi="Times New Roman" w:cs="Times New Roman"/>
          <w:sz w:val="24"/>
          <w:szCs w:val="24"/>
          <w:lang w:val="en-US"/>
        </w:rPr>
        <w:t xml:space="preserve">echnical </w:t>
      </w:r>
      <w:r>
        <w:rPr>
          <w:rFonts w:ascii="Times New Roman" w:hAnsi="Times New Roman" w:cs="Times New Roman"/>
          <w:sz w:val="24"/>
          <w:szCs w:val="24"/>
          <w:lang w:val="en-US"/>
        </w:rPr>
        <w:t>A</w:t>
      </w:r>
      <w:r w:rsidR="00DA468C" w:rsidRPr="00DA468C">
        <w:rPr>
          <w:rFonts w:ascii="Times New Roman" w:hAnsi="Times New Roman" w:cs="Times New Roman"/>
          <w:sz w:val="24"/>
          <w:szCs w:val="24"/>
          <w:lang w:val="en-US"/>
        </w:rPr>
        <w:t xml:space="preserve">ssistance for </w:t>
      </w:r>
      <w:r>
        <w:rPr>
          <w:rFonts w:ascii="Times New Roman" w:hAnsi="Times New Roman" w:cs="Times New Roman"/>
          <w:sz w:val="24"/>
          <w:szCs w:val="24"/>
          <w:lang w:val="en-US"/>
        </w:rPr>
        <w:t>Exports: Has it Been E</w:t>
      </w:r>
      <w:r w:rsidR="00DA468C" w:rsidRPr="00DA468C">
        <w:rPr>
          <w:rFonts w:ascii="Times New Roman" w:hAnsi="Times New Roman" w:cs="Times New Roman"/>
          <w:sz w:val="24"/>
          <w:szCs w:val="24"/>
          <w:lang w:val="en-US"/>
        </w:rPr>
        <w:t xml:space="preserve">ffective?’’ </w:t>
      </w:r>
      <w:r w:rsidR="00DA468C" w:rsidRPr="00363A8B">
        <w:rPr>
          <w:rFonts w:ascii="Times New Roman" w:hAnsi="Times New Roman" w:cs="Times New Roman"/>
          <w:i/>
          <w:sz w:val="24"/>
          <w:szCs w:val="24"/>
          <w:lang w:val="en-US"/>
        </w:rPr>
        <w:t>Journal of International Trade and Economic Development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Vol. 1</w:t>
      </w:r>
      <w:r w:rsidR="00DA468C" w:rsidRPr="00DA468C">
        <w:rPr>
          <w:rFonts w:ascii="Times New Roman" w:hAnsi="Times New Roman" w:cs="Times New Roman"/>
          <w:sz w:val="24"/>
          <w:szCs w:val="24"/>
          <w:lang w:val="en-US"/>
        </w:rPr>
        <w:t>8</w:t>
      </w:r>
      <w:r>
        <w:rPr>
          <w:rFonts w:ascii="Times New Roman" w:hAnsi="Times New Roman" w:cs="Times New Roman"/>
          <w:sz w:val="24"/>
          <w:szCs w:val="24"/>
          <w:lang w:val="en-US"/>
        </w:rPr>
        <w:t>, No.</w:t>
      </w:r>
      <w:r w:rsidR="00DA468C" w:rsidRPr="00DA468C">
        <w:rPr>
          <w:rFonts w:ascii="Times New Roman" w:hAnsi="Times New Roman" w:cs="Times New Roman"/>
          <w:sz w:val="24"/>
          <w:szCs w:val="24"/>
          <w:lang w:val="en-US"/>
        </w:rPr>
        <w:t>2</w:t>
      </w:r>
      <w:r>
        <w:rPr>
          <w:rFonts w:ascii="Times New Roman" w:hAnsi="Times New Roman" w:cs="Times New Roman"/>
          <w:sz w:val="24"/>
          <w:szCs w:val="24"/>
          <w:lang w:val="en-US"/>
        </w:rPr>
        <w:t>, pp.</w:t>
      </w:r>
      <w:r w:rsidR="00DA468C" w:rsidRPr="00DA468C">
        <w:rPr>
          <w:rFonts w:ascii="Times New Roman" w:hAnsi="Times New Roman" w:cs="Times New Roman"/>
          <w:sz w:val="24"/>
          <w:szCs w:val="24"/>
          <w:lang w:val="en-US"/>
        </w:rPr>
        <w:t xml:space="preserve"> 235-254.</w:t>
      </w:r>
    </w:p>
    <w:p w:rsidR="00DA468C" w:rsidRPr="00DA468C" w:rsidRDefault="00DA468C" w:rsidP="00DA468C">
      <w:pPr>
        <w:spacing w:before="120" w:after="120"/>
        <w:jc w:val="both"/>
        <w:rPr>
          <w:rFonts w:ascii="Times New Roman" w:hAnsi="Times New Roman" w:cs="Times New Roman"/>
          <w:sz w:val="24"/>
          <w:szCs w:val="24"/>
          <w:lang w:val="en-US"/>
        </w:rPr>
      </w:pPr>
      <w:proofErr w:type="spellStart"/>
      <w:r w:rsidRPr="00DA468C">
        <w:rPr>
          <w:rFonts w:ascii="Times New Roman" w:hAnsi="Times New Roman" w:cs="Times New Roman"/>
          <w:sz w:val="24"/>
          <w:szCs w:val="24"/>
          <w:lang w:val="en-US"/>
        </w:rPr>
        <w:t>Cadot</w:t>
      </w:r>
      <w:proofErr w:type="spellEnd"/>
      <w:r w:rsidR="00363A8B">
        <w:rPr>
          <w:rFonts w:ascii="Times New Roman" w:hAnsi="Times New Roman" w:cs="Times New Roman"/>
          <w:sz w:val="24"/>
          <w:szCs w:val="24"/>
          <w:lang w:val="en-US"/>
        </w:rPr>
        <w:t xml:space="preserve"> O.,</w:t>
      </w:r>
      <w:r w:rsidRPr="00DA468C">
        <w:rPr>
          <w:rFonts w:ascii="Times New Roman" w:hAnsi="Times New Roman" w:cs="Times New Roman"/>
          <w:sz w:val="24"/>
          <w:szCs w:val="24"/>
          <w:lang w:val="en-US"/>
        </w:rPr>
        <w:t xml:space="preserve"> </w:t>
      </w:r>
      <w:proofErr w:type="spellStart"/>
      <w:r w:rsidRPr="00DA468C">
        <w:rPr>
          <w:rFonts w:ascii="Times New Roman" w:hAnsi="Times New Roman" w:cs="Times New Roman"/>
          <w:sz w:val="24"/>
          <w:szCs w:val="24"/>
          <w:lang w:val="en-US"/>
        </w:rPr>
        <w:t>Fernandes</w:t>
      </w:r>
      <w:proofErr w:type="spellEnd"/>
      <w:r w:rsidRPr="00DA468C">
        <w:rPr>
          <w:rFonts w:ascii="Times New Roman" w:hAnsi="Times New Roman" w:cs="Times New Roman"/>
          <w:sz w:val="24"/>
          <w:szCs w:val="24"/>
          <w:lang w:val="en-US"/>
        </w:rPr>
        <w:t xml:space="preserve"> A. M., </w:t>
      </w:r>
      <w:proofErr w:type="spellStart"/>
      <w:r w:rsidRPr="00DA468C">
        <w:rPr>
          <w:rFonts w:ascii="Times New Roman" w:hAnsi="Times New Roman" w:cs="Times New Roman"/>
          <w:sz w:val="24"/>
          <w:szCs w:val="24"/>
          <w:lang w:val="en-US"/>
        </w:rPr>
        <w:t>Gourdon</w:t>
      </w:r>
      <w:proofErr w:type="spellEnd"/>
      <w:r w:rsidR="00363A8B">
        <w:rPr>
          <w:rFonts w:ascii="Times New Roman" w:hAnsi="Times New Roman" w:cs="Times New Roman"/>
          <w:sz w:val="24"/>
          <w:szCs w:val="24"/>
          <w:lang w:val="en-US"/>
        </w:rPr>
        <w:t xml:space="preserve"> J. and </w:t>
      </w:r>
      <w:proofErr w:type="spellStart"/>
      <w:r w:rsidR="00363A8B">
        <w:rPr>
          <w:rFonts w:ascii="Times New Roman" w:hAnsi="Times New Roman" w:cs="Times New Roman"/>
          <w:sz w:val="24"/>
          <w:szCs w:val="24"/>
          <w:lang w:val="en-US"/>
        </w:rPr>
        <w:t>Mattoo</w:t>
      </w:r>
      <w:proofErr w:type="spellEnd"/>
      <w:r w:rsidRPr="00DA468C">
        <w:rPr>
          <w:rFonts w:ascii="Times New Roman" w:hAnsi="Times New Roman" w:cs="Times New Roman"/>
          <w:sz w:val="24"/>
          <w:szCs w:val="24"/>
          <w:lang w:val="en-US"/>
        </w:rPr>
        <w:t xml:space="preserve"> A. (2011), ‘‘Impact </w:t>
      </w:r>
      <w:r w:rsidR="00363A8B">
        <w:rPr>
          <w:rFonts w:ascii="Times New Roman" w:hAnsi="Times New Roman" w:cs="Times New Roman"/>
          <w:sz w:val="24"/>
          <w:szCs w:val="24"/>
          <w:lang w:val="en-US"/>
        </w:rPr>
        <w:t>E</w:t>
      </w:r>
      <w:r w:rsidRPr="00DA468C">
        <w:rPr>
          <w:rFonts w:ascii="Times New Roman" w:hAnsi="Times New Roman" w:cs="Times New Roman"/>
          <w:sz w:val="24"/>
          <w:szCs w:val="24"/>
          <w:lang w:val="en-US"/>
        </w:rPr>
        <w:t xml:space="preserve">valuation of </w:t>
      </w:r>
      <w:r w:rsidR="00363A8B">
        <w:rPr>
          <w:rFonts w:ascii="Times New Roman" w:hAnsi="Times New Roman" w:cs="Times New Roman"/>
          <w:sz w:val="24"/>
          <w:szCs w:val="24"/>
          <w:lang w:val="en-US"/>
        </w:rPr>
        <w:t>T</w:t>
      </w:r>
      <w:r w:rsidRPr="00DA468C">
        <w:rPr>
          <w:rFonts w:ascii="Times New Roman" w:hAnsi="Times New Roman" w:cs="Times New Roman"/>
          <w:sz w:val="24"/>
          <w:szCs w:val="24"/>
          <w:lang w:val="en-US"/>
        </w:rPr>
        <w:t xml:space="preserve">rade </w:t>
      </w:r>
      <w:r w:rsidR="00363A8B">
        <w:rPr>
          <w:rFonts w:ascii="Times New Roman" w:hAnsi="Times New Roman" w:cs="Times New Roman"/>
          <w:sz w:val="24"/>
          <w:szCs w:val="24"/>
          <w:lang w:val="en-US"/>
        </w:rPr>
        <w:t>I</w:t>
      </w:r>
      <w:r w:rsidRPr="00DA468C">
        <w:rPr>
          <w:rFonts w:ascii="Times New Roman" w:hAnsi="Times New Roman" w:cs="Times New Roman"/>
          <w:sz w:val="24"/>
          <w:szCs w:val="24"/>
          <w:lang w:val="en-US"/>
        </w:rPr>
        <w:t xml:space="preserve">nterventions: Paving the </w:t>
      </w:r>
      <w:r w:rsidR="00363A8B">
        <w:rPr>
          <w:rFonts w:ascii="Times New Roman" w:hAnsi="Times New Roman" w:cs="Times New Roman"/>
          <w:sz w:val="24"/>
          <w:szCs w:val="24"/>
          <w:lang w:val="en-US"/>
        </w:rPr>
        <w:t>W</w:t>
      </w:r>
      <w:r w:rsidRPr="00DA468C">
        <w:rPr>
          <w:rFonts w:ascii="Times New Roman" w:hAnsi="Times New Roman" w:cs="Times New Roman"/>
          <w:sz w:val="24"/>
          <w:szCs w:val="24"/>
          <w:lang w:val="en-US"/>
        </w:rPr>
        <w:t>ay’’, Policy Research Working</w:t>
      </w:r>
      <w:r w:rsidR="00363A8B">
        <w:rPr>
          <w:rFonts w:ascii="Times New Roman" w:hAnsi="Times New Roman" w:cs="Times New Roman"/>
          <w:sz w:val="24"/>
          <w:szCs w:val="24"/>
          <w:lang w:val="en-US"/>
        </w:rPr>
        <w:t>,</w:t>
      </w:r>
      <w:r w:rsidRPr="00DA468C">
        <w:rPr>
          <w:rFonts w:ascii="Times New Roman" w:hAnsi="Times New Roman" w:cs="Times New Roman"/>
          <w:sz w:val="24"/>
          <w:szCs w:val="24"/>
          <w:lang w:val="en-US"/>
        </w:rPr>
        <w:t xml:space="preserve"> Paper 5877, Washington, DC</w:t>
      </w:r>
      <w:r w:rsidR="00363A8B">
        <w:rPr>
          <w:rFonts w:ascii="Times New Roman" w:hAnsi="Times New Roman" w:cs="Times New Roman"/>
          <w:sz w:val="24"/>
          <w:szCs w:val="24"/>
          <w:lang w:val="en-US"/>
        </w:rPr>
        <w:t>,</w:t>
      </w:r>
      <w:r w:rsidRPr="00DA468C">
        <w:rPr>
          <w:rFonts w:ascii="Times New Roman" w:hAnsi="Times New Roman" w:cs="Times New Roman"/>
          <w:sz w:val="24"/>
          <w:szCs w:val="24"/>
          <w:lang w:val="en-US"/>
        </w:rPr>
        <w:t xml:space="preserve"> World Bank.</w:t>
      </w:r>
    </w:p>
    <w:p w:rsidR="00DA468C" w:rsidRPr="00DA468C" w:rsidRDefault="00363A8B" w:rsidP="00DA468C">
      <w:pPr>
        <w:spacing w:before="120" w:after="120"/>
        <w:jc w:val="both"/>
        <w:rPr>
          <w:rFonts w:ascii="Times New Roman" w:hAnsi="Times New Roman" w:cs="Times New Roman"/>
          <w:sz w:val="24"/>
          <w:szCs w:val="24"/>
          <w:lang w:val="en-US"/>
        </w:rPr>
      </w:pPr>
      <w:r>
        <w:rPr>
          <w:rFonts w:ascii="Times New Roman" w:hAnsi="Times New Roman" w:cs="Times New Roman"/>
          <w:sz w:val="24"/>
          <w:szCs w:val="24"/>
          <w:lang w:val="en-US"/>
        </w:rPr>
        <w:t>Cali</w:t>
      </w:r>
      <w:r w:rsidR="00DA468C" w:rsidRPr="00DA468C">
        <w:rPr>
          <w:rFonts w:ascii="Times New Roman" w:hAnsi="Times New Roman" w:cs="Times New Roman"/>
          <w:sz w:val="24"/>
          <w:szCs w:val="24"/>
          <w:lang w:val="en-US"/>
        </w:rPr>
        <w:t xml:space="preserve"> M. and </w:t>
      </w:r>
      <w:proofErr w:type="spellStart"/>
      <w:r w:rsidR="00DA468C" w:rsidRPr="00DA468C">
        <w:rPr>
          <w:rFonts w:ascii="Times New Roman" w:hAnsi="Times New Roman" w:cs="Times New Roman"/>
          <w:sz w:val="24"/>
          <w:szCs w:val="24"/>
          <w:lang w:val="en-US"/>
        </w:rPr>
        <w:t>te</w:t>
      </w:r>
      <w:proofErr w:type="spellEnd"/>
      <w:r w:rsidR="00BE7011">
        <w:rPr>
          <w:rFonts w:ascii="Times New Roman" w:hAnsi="Times New Roman" w:cs="Times New Roman"/>
          <w:sz w:val="24"/>
          <w:szCs w:val="24"/>
          <w:lang w:val="en-US"/>
        </w:rPr>
        <w:t xml:space="preserve"> </w:t>
      </w:r>
      <w:proofErr w:type="spellStart"/>
      <w:r w:rsidR="00DA468C" w:rsidRPr="00DA468C">
        <w:rPr>
          <w:rFonts w:ascii="Times New Roman" w:hAnsi="Times New Roman" w:cs="Times New Roman"/>
          <w:sz w:val="24"/>
          <w:szCs w:val="24"/>
          <w:lang w:val="en-US"/>
        </w:rPr>
        <w:t>Velde</w:t>
      </w:r>
      <w:proofErr w:type="spellEnd"/>
      <w:r w:rsidR="00DA468C" w:rsidRPr="00DA468C">
        <w:rPr>
          <w:rFonts w:ascii="Times New Roman" w:hAnsi="Times New Roman" w:cs="Times New Roman"/>
          <w:sz w:val="24"/>
          <w:szCs w:val="24"/>
          <w:lang w:val="en-US"/>
        </w:rPr>
        <w:t xml:space="preserve"> D. W. (2010)</w:t>
      </w:r>
      <w:proofErr w:type="gramStart"/>
      <w:r w:rsidR="00DA468C" w:rsidRPr="00DA468C">
        <w:rPr>
          <w:rFonts w:ascii="Times New Roman" w:hAnsi="Times New Roman" w:cs="Times New Roman"/>
          <w:sz w:val="24"/>
          <w:szCs w:val="24"/>
          <w:lang w:val="en-US"/>
        </w:rPr>
        <w:t>,‘‘Does</w:t>
      </w:r>
      <w:proofErr w:type="gramEnd"/>
      <w:r w:rsidR="00DA468C" w:rsidRPr="00DA468C">
        <w:rPr>
          <w:rFonts w:ascii="Times New Roman" w:hAnsi="Times New Roman" w:cs="Times New Roman"/>
          <w:sz w:val="24"/>
          <w:szCs w:val="24"/>
          <w:lang w:val="en-US"/>
        </w:rPr>
        <w:t xml:space="preserve"> Aid for Trade </w:t>
      </w:r>
      <w:r>
        <w:rPr>
          <w:rFonts w:ascii="Times New Roman" w:hAnsi="Times New Roman" w:cs="Times New Roman"/>
          <w:sz w:val="24"/>
          <w:szCs w:val="24"/>
          <w:lang w:val="en-US"/>
        </w:rPr>
        <w:t>R</w:t>
      </w:r>
      <w:r w:rsidR="00DA468C" w:rsidRPr="00DA468C">
        <w:rPr>
          <w:rFonts w:ascii="Times New Roman" w:hAnsi="Times New Roman" w:cs="Times New Roman"/>
          <w:sz w:val="24"/>
          <w:szCs w:val="24"/>
          <w:lang w:val="en-US"/>
        </w:rPr>
        <w:t xml:space="preserve">eally </w:t>
      </w:r>
      <w:r>
        <w:rPr>
          <w:rFonts w:ascii="Times New Roman" w:hAnsi="Times New Roman" w:cs="Times New Roman"/>
          <w:sz w:val="24"/>
          <w:szCs w:val="24"/>
          <w:lang w:val="en-US"/>
        </w:rPr>
        <w:t>Improve T</w:t>
      </w:r>
      <w:r w:rsidR="00DA468C" w:rsidRPr="00DA468C">
        <w:rPr>
          <w:rFonts w:ascii="Times New Roman" w:hAnsi="Times New Roman" w:cs="Times New Roman"/>
          <w:sz w:val="24"/>
          <w:szCs w:val="24"/>
          <w:lang w:val="en-US"/>
        </w:rPr>
        <w:t xml:space="preserve">rade </w:t>
      </w:r>
      <w:r>
        <w:rPr>
          <w:rFonts w:ascii="Times New Roman" w:hAnsi="Times New Roman" w:cs="Times New Roman"/>
          <w:sz w:val="24"/>
          <w:szCs w:val="24"/>
          <w:lang w:val="en-US"/>
        </w:rPr>
        <w:t>P</w:t>
      </w:r>
      <w:r w:rsidR="00DA468C" w:rsidRPr="00DA468C">
        <w:rPr>
          <w:rFonts w:ascii="Times New Roman" w:hAnsi="Times New Roman" w:cs="Times New Roman"/>
          <w:sz w:val="24"/>
          <w:szCs w:val="24"/>
          <w:lang w:val="en-US"/>
        </w:rPr>
        <w:t xml:space="preserve">erformance?’’ </w:t>
      </w:r>
      <w:proofErr w:type="gramStart"/>
      <w:r w:rsidR="00DA468C" w:rsidRPr="00363A8B">
        <w:rPr>
          <w:rFonts w:ascii="Times New Roman" w:hAnsi="Times New Roman" w:cs="Times New Roman"/>
          <w:i/>
          <w:sz w:val="24"/>
          <w:szCs w:val="24"/>
          <w:lang w:val="en-US"/>
        </w:rPr>
        <w:t>World Development</w:t>
      </w:r>
      <w:r>
        <w:rPr>
          <w:rFonts w:ascii="Times New Roman" w:hAnsi="Times New Roman" w:cs="Times New Roman"/>
          <w:i/>
          <w:sz w:val="24"/>
          <w:szCs w:val="24"/>
          <w:lang w:val="en-US"/>
        </w:rPr>
        <w:t>,</w:t>
      </w:r>
      <w:r w:rsidR="00DA468C" w:rsidRPr="00DA468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Vol. </w:t>
      </w:r>
      <w:r w:rsidR="00DA468C" w:rsidRPr="00DA468C">
        <w:rPr>
          <w:rFonts w:ascii="Times New Roman" w:hAnsi="Times New Roman" w:cs="Times New Roman"/>
          <w:sz w:val="24"/>
          <w:szCs w:val="24"/>
          <w:lang w:val="en-US"/>
        </w:rPr>
        <w:t>39</w:t>
      </w:r>
      <w:r>
        <w:rPr>
          <w:rFonts w:ascii="Times New Roman" w:hAnsi="Times New Roman" w:cs="Times New Roman"/>
          <w:sz w:val="24"/>
          <w:szCs w:val="24"/>
          <w:lang w:val="en-US"/>
        </w:rPr>
        <w:t xml:space="preserve">, No. </w:t>
      </w:r>
      <w:r w:rsidR="00DA468C" w:rsidRPr="00DA468C">
        <w:rPr>
          <w:rFonts w:ascii="Times New Roman" w:hAnsi="Times New Roman" w:cs="Times New Roman"/>
          <w:sz w:val="24"/>
          <w:szCs w:val="24"/>
          <w:lang w:val="en-US"/>
        </w:rPr>
        <w:t>5</w:t>
      </w:r>
      <w:r>
        <w:rPr>
          <w:rFonts w:ascii="Times New Roman" w:hAnsi="Times New Roman" w:cs="Times New Roman"/>
          <w:sz w:val="24"/>
          <w:szCs w:val="24"/>
          <w:lang w:val="en-US"/>
        </w:rPr>
        <w:t>, pp.</w:t>
      </w:r>
      <w:r w:rsidR="00DA468C" w:rsidRPr="00DA468C">
        <w:rPr>
          <w:rFonts w:ascii="Times New Roman" w:hAnsi="Times New Roman" w:cs="Times New Roman"/>
          <w:sz w:val="24"/>
          <w:szCs w:val="24"/>
          <w:lang w:val="en-US"/>
        </w:rPr>
        <w:t>725-740.</w:t>
      </w:r>
      <w:proofErr w:type="gramEnd"/>
    </w:p>
    <w:p w:rsidR="00DA468C" w:rsidRPr="00DA468C" w:rsidRDefault="00DA468C" w:rsidP="00DA468C">
      <w:pPr>
        <w:spacing w:before="120" w:after="120"/>
        <w:jc w:val="both"/>
        <w:rPr>
          <w:rFonts w:ascii="Times New Roman" w:hAnsi="Times New Roman" w:cs="Times New Roman"/>
          <w:sz w:val="24"/>
          <w:szCs w:val="24"/>
          <w:lang w:val="en-US"/>
        </w:rPr>
      </w:pPr>
      <w:r w:rsidRPr="00DA468C">
        <w:rPr>
          <w:rFonts w:ascii="Times New Roman" w:hAnsi="Times New Roman" w:cs="Times New Roman"/>
          <w:sz w:val="24"/>
          <w:szCs w:val="24"/>
          <w:lang w:val="en-US"/>
        </w:rPr>
        <w:t xml:space="preserve">Chang, R., L. </w:t>
      </w:r>
      <w:proofErr w:type="spellStart"/>
      <w:r w:rsidRPr="00DA468C">
        <w:rPr>
          <w:rFonts w:ascii="Times New Roman" w:hAnsi="Times New Roman" w:cs="Times New Roman"/>
          <w:sz w:val="24"/>
          <w:szCs w:val="24"/>
          <w:lang w:val="en-US"/>
        </w:rPr>
        <w:t>Kaltani</w:t>
      </w:r>
      <w:proofErr w:type="spellEnd"/>
      <w:r w:rsidRPr="00DA468C">
        <w:rPr>
          <w:rFonts w:ascii="Times New Roman" w:hAnsi="Times New Roman" w:cs="Times New Roman"/>
          <w:sz w:val="24"/>
          <w:szCs w:val="24"/>
          <w:lang w:val="en-US"/>
        </w:rPr>
        <w:t xml:space="preserve">, and N. </w:t>
      </w:r>
      <w:proofErr w:type="spellStart"/>
      <w:r w:rsidRPr="00DA468C">
        <w:rPr>
          <w:rFonts w:ascii="Times New Roman" w:hAnsi="Times New Roman" w:cs="Times New Roman"/>
          <w:sz w:val="24"/>
          <w:szCs w:val="24"/>
          <w:lang w:val="en-US"/>
        </w:rPr>
        <w:t>Loayza</w:t>
      </w:r>
      <w:proofErr w:type="spellEnd"/>
      <w:r w:rsidRPr="00DA468C">
        <w:rPr>
          <w:rFonts w:ascii="Times New Roman" w:hAnsi="Times New Roman" w:cs="Times New Roman"/>
          <w:sz w:val="24"/>
          <w:szCs w:val="24"/>
          <w:lang w:val="en-US"/>
        </w:rPr>
        <w:t xml:space="preserve"> (2005), ‘’Openness </w:t>
      </w:r>
      <w:r w:rsidR="00363A8B">
        <w:rPr>
          <w:rFonts w:ascii="Times New Roman" w:hAnsi="Times New Roman" w:cs="Times New Roman"/>
          <w:sz w:val="24"/>
          <w:szCs w:val="24"/>
          <w:lang w:val="en-US"/>
        </w:rPr>
        <w:t>C</w:t>
      </w:r>
      <w:r w:rsidRPr="00DA468C">
        <w:rPr>
          <w:rFonts w:ascii="Times New Roman" w:hAnsi="Times New Roman" w:cs="Times New Roman"/>
          <w:sz w:val="24"/>
          <w:szCs w:val="24"/>
          <w:lang w:val="en-US"/>
        </w:rPr>
        <w:t xml:space="preserve">an be </w:t>
      </w:r>
      <w:r w:rsidR="00363A8B">
        <w:rPr>
          <w:rFonts w:ascii="Times New Roman" w:hAnsi="Times New Roman" w:cs="Times New Roman"/>
          <w:sz w:val="24"/>
          <w:szCs w:val="24"/>
          <w:lang w:val="en-US"/>
        </w:rPr>
        <w:t>G</w:t>
      </w:r>
      <w:r w:rsidRPr="00DA468C">
        <w:rPr>
          <w:rFonts w:ascii="Times New Roman" w:hAnsi="Times New Roman" w:cs="Times New Roman"/>
          <w:sz w:val="24"/>
          <w:szCs w:val="24"/>
          <w:lang w:val="en-US"/>
        </w:rPr>
        <w:t xml:space="preserve">ood for </w:t>
      </w:r>
      <w:r w:rsidR="00363A8B">
        <w:rPr>
          <w:rFonts w:ascii="Times New Roman" w:hAnsi="Times New Roman" w:cs="Times New Roman"/>
          <w:sz w:val="24"/>
          <w:szCs w:val="24"/>
          <w:lang w:val="en-US"/>
        </w:rPr>
        <w:t>G</w:t>
      </w:r>
      <w:r w:rsidRPr="00DA468C">
        <w:rPr>
          <w:rFonts w:ascii="Times New Roman" w:hAnsi="Times New Roman" w:cs="Times New Roman"/>
          <w:sz w:val="24"/>
          <w:szCs w:val="24"/>
          <w:lang w:val="en-US"/>
        </w:rPr>
        <w:t xml:space="preserve">rowth: The </w:t>
      </w:r>
      <w:r w:rsidR="00363A8B">
        <w:rPr>
          <w:rFonts w:ascii="Times New Roman" w:hAnsi="Times New Roman" w:cs="Times New Roman"/>
          <w:sz w:val="24"/>
          <w:szCs w:val="24"/>
          <w:lang w:val="en-US"/>
        </w:rPr>
        <w:t>Role of P</w:t>
      </w:r>
      <w:r w:rsidRPr="00DA468C">
        <w:rPr>
          <w:rFonts w:ascii="Times New Roman" w:hAnsi="Times New Roman" w:cs="Times New Roman"/>
          <w:sz w:val="24"/>
          <w:szCs w:val="24"/>
          <w:lang w:val="en-US"/>
        </w:rPr>
        <w:t xml:space="preserve">olicy </w:t>
      </w:r>
      <w:r w:rsidR="00363A8B">
        <w:rPr>
          <w:rFonts w:ascii="Times New Roman" w:hAnsi="Times New Roman" w:cs="Times New Roman"/>
          <w:sz w:val="24"/>
          <w:szCs w:val="24"/>
          <w:lang w:val="en-US"/>
        </w:rPr>
        <w:t>C</w:t>
      </w:r>
      <w:r w:rsidRPr="00DA468C">
        <w:rPr>
          <w:rFonts w:ascii="Times New Roman" w:hAnsi="Times New Roman" w:cs="Times New Roman"/>
          <w:sz w:val="24"/>
          <w:szCs w:val="24"/>
          <w:lang w:val="en-US"/>
        </w:rPr>
        <w:t>omplementarities</w:t>
      </w:r>
      <w:r w:rsidR="00363A8B">
        <w:rPr>
          <w:rFonts w:ascii="Times New Roman" w:hAnsi="Times New Roman" w:cs="Times New Roman"/>
          <w:sz w:val="24"/>
          <w:szCs w:val="24"/>
          <w:lang w:val="en-US"/>
        </w:rPr>
        <w:t>”</w:t>
      </w:r>
      <w:r w:rsidRPr="00DA468C">
        <w:rPr>
          <w:rFonts w:ascii="Times New Roman" w:hAnsi="Times New Roman" w:cs="Times New Roman"/>
          <w:sz w:val="24"/>
          <w:szCs w:val="24"/>
          <w:lang w:val="en-US"/>
        </w:rPr>
        <w:t xml:space="preserve">, Cambridge, Massachusetts: NBER, Working Paper </w:t>
      </w:r>
      <w:r w:rsidR="00363A8B">
        <w:rPr>
          <w:rFonts w:ascii="Times New Roman" w:hAnsi="Times New Roman" w:cs="Times New Roman"/>
          <w:sz w:val="24"/>
          <w:szCs w:val="24"/>
          <w:lang w:val="en-US"/>
        </w:rPr>
        <w:t xml:space="preserve">No. </w:t>
      </w:r>
      <w:r w:rsidRPr="00DA468C">
        <w:rPr>
          <w:rFonts w:ascii="Times New Roman" w:hAnsi="Times New Roman" w:cs="Times New Roman"/>
          <w:sz w:val="24"/>
          <w:szCs w:val="24"/>
          <w:lang w:val="en-US"/>
        </w:rPr>
        <w:t xml:space="preserve">11787. </w:t>
      </w:r>
    </w:p>
    <w:p w:rsidR="00DA468C" w:rsidRPr="00DA468C" w:rsidRDefault="00DA468C" w:rsidP="00DA468C">
      <w:pPr>
        <w:spacing w:before="120" w:after="120"/>
        <w:jc w:val="both"/>
        <w:rPr>
          <w:rFonts w:ascii="Times New Roman" w:hAnsi="Times New Roman" w:cs="Times New Roman"/>
          <w:sz w:val="24"/>
          <w:szCs w:val="24"/>
          <w:lang w:val="en-US"/>
        </w:rPr>
      </w:pPr>
      <w:proofErr w:type="gramStart"/>
      <w:r w:rsidRPr="00DA468C">
        <w:rPr>
          <w:rFonts w:ascii="Times New Roman" w:hAnsi="Times New Roman" w:cs="Times New Roman"/>
          <w:sz w:val="24"/>
          <w:szCs w:val="24"/>
          <w:lang w:val="en-US"/>
        </w:rPr>
        <w:t xml:space="preserve">Collier P. and Dollar D. (2002), "Aid Allocation and Poverty Reduction", </w:t>
      </w:r>
      <w:r w:rsidRPr="00363A8B">
        <w:rPr>
          <w:rFonts w:ascii="Times New Roman" w:hAnsi="Times New Roman" w:cs="Times New Roman"/>
          <w:i/>
          <w:sz w:val="24"/>
          <w:szCs w:val="24"/>
          <w:lang w:val="en-US"/>
        </w:rPr>
        <w:t>European Economic Review</w:t>
      </w:r>
      <w:r w:rsidRPr="00DA468C">
        <w:rPr>
          <w:rFonts w:ascii="Times New Roman" w:hAnsi="Times New Roman" w:cs="Times New Roman"/>
          <w:sz w:val="24"/>
          <w:szCs w:val="24"/>
          <w:lang w:val="en-US"/>
        </w:rPr>
        <w:t>, Vol. 46, pp.1475-1500.</w:t>
      </w:r>
      <w:proofErr w:type="gramEnd"/>
    </w:p>
    <w:p w:rsidR="00DA468C" w:rsidRPr="00DA468C" w:rsidRDefault="00DA468C" w:rsidP="00DA468C">
      <w:pPr>
        <w:spacing w:before="120" w:after="120"/>
        <w:jc w:val="both"/>
        <w:rPr>
          <w:rFonts w:ascii="Times New Roman" w:hAnsi="Times New Roman" w:cs="Times New Roman"/>
          <w:sz w:val="24"/>
          <w:szCs w:val="24"/>
          <w:lang w:val="en-US"/>
        </w:rPr>
      </w:pPr>
      <w:proofErr w:type="spellStart"/>
      <w:r w:rsidRPr="00DA468C">
        <w:rPr>
          <w:rFonts w:ascii="Times New Roman" w:hAnsi="Times New Roman" w:cs="Times New Roman"/>
          <w:sz w:val="24"/>
          <w:szCs w:val="24"/>
          <w:lang w:val="en-US"/>
        </w:rPr>
        <w:t>Dufrénot</w:t>
      </w:r>
      <w:proofErr w:type="spellEnd"/>
      <w:r w:rsidRPr="00DA468C">
        <w:rPr>
          <w:rFonts w:ascii="Times New Roman" w:hAnsi="Times New Roman" w:cs="Times New Roman"/>
          <w:sz w:val="24"/>
          <w:szCs w:val="24"/>
          <w:lang w:val="en-US"/>
        </w:rPr>
        <w:t xml:space="preserve"> G., Mignon</w:t>
      </w:r>
      <w:r w:rsidR="00363A8B">
        <w:rPr>
          <w:rFonts w:ascii="Times New Roman" w:hAnsi="Times New Roman" w:cs="Times New Roman"/>
          <w:sz w:val="24"/>
          <w:szCs w:val="24"/>
          <w:lang w:val="en-US"/>
        </w:rPr>
        <w:t xml:space="preserve"> V.</w:t>
      </w:r>
      <w:r w:rsidRPr="00DA468C">
        <w:rPr>
          <w:rFonts w:ascii="Times New Roman" w:hAnsi="Times New Roman" w:cs="Times New Roman"/>
          <w:sz w:val="24"/>
          <w:szCs w:val="24"/>
          <w:lang w:val="en-US"/>
        </w:rPr>
        <w:t xml:space="preserve"> and </w:t>
      </w:r>
      <w:proofErr w:type="spellStart"/>
      <w:r w:rsidRPr="00DA468C">
        <w:rPr>
          <w:rFonts w:ascii="Times New Roman" w:hAnsi="Times New Roman" w:cs="Times New Roman"/>
          <w:sz w:val="24"/>
          <w:szCs w:val="24"/>
          <w:lang w:val="en-US"/>
        </w:rPr>
        <w:t>Tsangarides</w:t>
      </w:r>
      <w:proofErr w:type="spellEnd"/>
      <w:r w:rsidRPr="00DA468C">
        <w:rPr>
          <w:rFonts w:ascii="Times New Roman" w:hAnsi="Times New Roman" w:cs="Times New Roman"/>
          <w:sz w:val="24"/>
          <w:szCs w:val="24"/>
          <w:lang w:val="en-US"/>
        </w:rPr>
        <w:t xml:space="preserve"> </w:t>
      </w:r>
      <w:r w:rsidR="00363A8B">
        <w:rPr>
          <w:rFonts w:ascii="Times New Roman" w:hAnsi="Times New Roman" w:cs="Times New Roman"/>
          <w:sz w:val="24"/>
          <w:szCs w:val="24"/>
          <w:lang w:val="en-US"/>
        </w:rPr>
        <w:t xml:space="preserve">C. </w:t>
      </w:r>
      <w:r w:rsidRPr="00DA468C">
        <w:rPr>
          <w:rFonts w:ascii="Times New Roman" w:hAnsi="Times New Roman" w:cs="Times New Roman"/>
          <w:sz w:val="24"/>
          <w:szCs w:val="24"/>
          <w:lang w:val="en-US"/>
        </w:rPr>
        <w:t xml:space="preserve">(2009), ‘’The </w:t>
      </w:r>
      <w:r w:rsidR="00363A8B">
        <w:rPr>
          <w:rFonts w:ascii="Times New Roman" w:hAnsi="Times New Roman" w:cs="Times New Roman"/>
          <w:sz w:val="24"/>
          <w:szCs w:val="24"/>
          <w:lang w:val="en-US"/>
        </w:rPr>
        <w:t>T</w:t>
      </w:r>
      <w:r w:rsidRPr="00DA468C">
        <w:rPr>
          <w:rFonts w:ascii="Times New Roman" w:hAnsi="Times New Roman" w:cs="Times New Roman"/>
          <w:sz w:val="24"/>
          <w:szCs w:val="24"/>
          <w:lang w:val="en-US"/>
        </w:rPr>
        <w:t>rade-</w:t>
      </w:r>
      <w:r w:rsidR="00363A8B">
        <w:rPr>
          <w:rFonts w:ascii="Times New Roman" w:hAnsi="Times New Roman" w:cs="Times New Roman"/>
          <w:sz w:val="24"/>
          <w:szCs w:val="24"/>
          <w:lang w:val="en-US"/>
        </w:rPr>
        <w:t>Growth N</w:t>
      </w:r>
      <w:r w:rsidRPr="00DA468C">
        <w:rPr>
          <w:rFonts w:ascii="Times New Roman" w:hAnsi="Times New Roman" w:cs="Times New Roman"/>
          <w:sz w:val="24"/>
          <w:szCs w:val="24"/>
          <w:lang w:val="en-US"/>
        </w:rPr>
        <w:t xml:space="preserve">exus in the </w:t>
      </w:r>
      <w:r w:rsidR="00363A8B">
        <w:rPr>
          <w:rFonts w:ascii="Times New Roman" w:hAnsi="Times New Roman" w:cs="Times New Roman"/>
          <w:sz w:val="24"/>
          <w:szCs w:val="24"/>
          <w:lang w:val="en-US"/>
        </w:rPr>
        <w:t xml:space="preserve">Developing Countries: A </w:t>
      </w:r>
      <w:proofErr w:type="spellStart"/>
      <w:r w:rsidR="00363A8B">
        <w:rPr>
          <w:rFonts w:ascii="Times New Roman" w:hAnsi="Times New Roman" w:cs="Times New Roman"/>
          <w:sz w:val="24"/>
          <w:szCs w:val="24"/>
          <w:lang w:val="en-US"/>
        </w:rPr>
        <w:t>Q</w:t>
      </w:r>
      <w:r w:rsidRPr="00DA468C">
        <w:rPr>
          <w:rFonts w:ascii="Times New Roman" w:hAnsi="Times New Roman" w:cs="Times New Roman"/>
          <w:sz w:val="24"/>
          <w:szCs w:val="24"/>
          <w:lang w:val="en-US"/>
        </w:rPr>
        <w:t>uantile</w:t>
      </w:r>
      <w:proofErr w:type="spellEnd"/>
      <w:r w:rsidRPr="00DA468C">
        <w:rPr>
          <w:rFonts w:ascii="Times New Roman" w:hAnsi="Times New Roman" w:cs="Times New Roman"/>
          <w:sz w:val="24"/>
          <w:szCs w:val="24"/>
          <w:lang w:val="en-US"/>
        </w:rPr>
        <w:t xml:space="preserve"> </w:t>
      </w:r>
      <w:r w:rsidR="00363A8B">
        <w:rPr>
          <w:rFonts w:ascii="Times New Roman" w:hAnsi="Times New Roman" w:cs="Times New Roman"/>
          <w:sz w:val="24"/>
          <w:szCs w:val="24"/>
          <w:lang w:val="en-US"/>
        </w:rPr>
        <w:t>R</w:t>
      </w:r>
      <w:r w:rsidRPr="00DA468C">
        <w:rPr>
          <w:rFonts w:ascii="Times New Roman" w:hAnsi="Times New Roman" w:cs="Times New Roman"/>
          <w:sz w:val="24"/>
          <w:szCs w:val="24"/>
          <w:lang w:val="en-US"/>
        </w:rPr>
        <w:t xml:space="preserve">egression </w:t>
      </w:r>
      <w:r w:rsidR="00363A8B">
        <w:rPr>
          <w:rFonts w:ascii="Times New Roman" w:hAnsi="Times New Roman" w:cs="Times New Roman"/>
          <w:sz w:val="24"/>
          <w:szCs w:val="24"/>
          <w:lang w:val="en-US"/>
        </w:rPr>
        <w:t>A</w:t>
      </w:r>
      <w:r w:rsidRPr="00DA468C">
        <w:rPr>
          <w:rFonts w:ascii="Times New Roman" w:hAnsi="Times New Roman" w:cs="Times New Roman"/>
          <w:sz w:val="24"/>
          <w:szCs w:val="24"/>
          <w:lang w:val="en-US"/>
        </w:rPr>
        <w:t>pproach’’, Paris</w:t>
      </w:r>
      <w:r w:rsidR="00363A8B">
        <w:rPr>
          <w:rFonts w:ascii="Times New Roman" w:hAnsi="Times New Roman" w:cs="Times New Roman"/>
          <w:sz w:val="24"/>
          <w:szCs w:val="24"/>
          <w:lang w:val="en-US"/>
        </w:rPr>
        <w:t>,</w:t>
      </w:r>
      <w:r w:rsidRPr="00DA468C">
        <w:rPr>
          <w:rFonts w:ascii="Times New Roman" w:hAnsi="Times New Roman" w:cs="Times New Roman"/>
          <w:sz w:val="24"/>
          <w:szCs w:val="24"/>
          <w:lang w:val="en-US"/>
        </w:rPr>
        <w:t xml:space="preserve"> CEPII, </w:t>
      </w:r>
      <w:r w:rsidR="00363A8B">
        <w:rPr>
          <w:rFonts w:ascii="Times New Roman" w:hAnsi="Times New Roman" w:cs="Times New Roman"/>
          <w:sz w:val="24"/>
          <w:szCs w:val="24"/>
          <w:lang w:val="en-US"/>
        </w:rPr>
        <w:t>D</w:t>
      </w:r>
      <w:r w:rsidRPr="00DA468C">
        <w:rPr>
          <w:rFonts w:ascii="Times New Roman" w:hAnsi="Times New Roman" w:cs="Times New Roman"/>
          <w:sz w:val="24"/>
          <w:szCs w:val="24"/>
          <w:lang w:val="en-US"/>
        </w:rPr>
        <w:t xml:space="preserve">ocument de </w:t>
      </w:r>
      <w:r w:rsidR="00363A8B">
        <w:rPr>
          <w:rFonts w:ascii="Times New Roman" w:hAnsi="Times New Roman" w:cs="Times New Roman"/>
          <w:sz w:val="24"/>
          <w:szCs w:val="24"/>
          <w:lang w:val="en-US"/>
        </w:rPr>
        <w:t>T</w:t>
      </w:r>
      <w:r w:rsidRPr="00DA468C">
        <w:rPr>
          <w:rFonts w:ascii="Times New Roman" w:hAnsi="Times New Roman" w:cs="Times New Roman"/>
          <w:sz w:val="24"/>
          <w:szCs w:val="24"/>
          <w:lang w:val="en-US"/>
        </w:rPr>
        <w:t xml:space="preserve">ravail 2009-04. </w:t>
      </w:r>
    </w:p>
    <w:p w:rsidR="00DA468C" w:rsidRPr="00DA468C" w:rsidRDefault="00363A8B" w:rsidP="00DA468C">
      <w:pPr>
        <w:spacing w:before="120" w:after="1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Hallaert</w:t>
      </w:r>
      <w:proofErr w:type="spellEnd"/>
      <w:r w:rsidR="00DA468C" w:rsidRPr="00DA468C">
        <w:rPr>
          <w:rFonts w:ascii="Times New Roman" w:hAnsi="Times New Roman" w:cs="Times New Roman"/>
          <w:sz w:val="24"/>
          <w:szCs w:val="24"/>
          <w:lang w:val="en-US"/>
        </w:rPr>
        <w:t xml:space="preserve"> J. (2010), “Increasing the </w:t>
      </w:r>
      <w:r>
        <w:rPr>
          <w:rFonts w:ascii="Times New Roman" w:hAnsi="Times New Roman" w:cs="Times New Roman"/>
          <w:sz w:val="24"/>
          <w:szCs w:val="24"/>
          <w:lang w:val="en-US"/>
        </w:rPr>
        <w:t>I</w:t>
      </w:r>
      <w:r w:rsidR="00DA468C" w:rsidRPr="00DA468C">
        <w:rPr>
          <w:rFonts w:ascii="Times New Roman" w:hAnsi="Times New Roman" w:cs="Times New Roman"/>
          <w:sz w:val="24"/>
          <w:szCs w:val="24"/>
          <w:lang w:val="en-US"/>
        </w:rPr>
        <w:t xml:space="preserve">mpact of </w:t>
      </w:r>
      <w:r>
        <w:rPr>
          <w:rFonts w:ascii="Times New Roman" w:hAnsi="Times New Roman" w:cs="Times New Roman"/>
          <w:sz w:val="24"/>
          <w:szCs w:val="24"/>
          <w:lang w:val="en-US"/>
        </w:rPr>
        <w:t>T</w:t>
      </w:r>
      <w:r w:rsidR="00DA468C" w:rsidRPr="00DA468C">
        <w:rPr>
          <w:rFonts w:ascii="Times New Roman" w:hAnsi="Times New Roman" w:cs="Times New Roman"/>
          <w:sz w:val="24"/>
          <w:szCs w:val="24"/>
          <w:lang w:val="en-US"/>
        </w:rPr>
        <w:t xml:space="preserve">rade </w:t>
      </w:r>
      <w:r>
        <w:rPr>
          <w:rFonts w:ascii="Times New Roman" w:hAnsi="Times New Roman" w:cs="Times New Roman"/>
          <w:sz w:val="24"/>
          <w:szCs w:val="24"/>
          <w:lang w:val="en-US"/>
        </w:rPr>
        <w:t>E</w:t>
      </w:r>
      <w:r w:rsidR="00DA468C" w:rsidRPr="00DA468C">
        <w:rPr>
          <w:rFonts w:ascii="Times New Roman" w:hAnsi="Times New Roman" w:cs="Times New Roman"/>
          <w:sz w:val="24"/>
          <w:szCs w:val="24"/>
          <w:lang w:val="en-US"/>
        </w:rPr>
        <w:t xml:space="preserve">xpansion on </w:t>
      </w:r>
      <w:r>
        <w:rPr>
          <w:rFonts w:ascii="Times New Roman" w:hAnsi="Times New Roman" w:cs="Times New Roman"/>
          <w:sz w:val="24"/>
          <w:szCs w:val="24"/>
          <w:lang w:val="en-US"/>
        </w:rPr>
        <w:t>G</w:t>
      </w:r>
      <w:r w:rsidR="00DA468C" w:rsidRPr="00DA468C">
        <w:rPr>
          <w:rFonts w:ascii="Times New Roman" w:hAnsi="Times New Roman" w:cs="Times New Roman"/>
          <w:sz w:val="24"/>
          <w:szCs w:val="24"/>
          <w:lang w:val="en-US"/>
        </w:rPr>
        <w:t xml:space="preserve">rowth: Lessons from </w:t>
      </w:r>
      <w:r>
        <w:rPr>
          <w:rFonts w:ascii="Times New Roman" w:hAnsi="Times New Roman" w:cs="Times New Roman"/>
          <w:sz w:val="24"/>
          <w:szCs w:val="24"/>
          <w:lang w:val="en-US"/>
        </w:rPr>
        <w:t>T</w:t>
      </w:r>
      <w:r w:rsidR="00DA468C" w:rsidRPr="00DA468C">
        <w:rPr>
          <w:rFonts w:ascii="Times New Roman" w:hAnsi="Times New Roman" w:cs="Times New Roman"/>
          <w:sz w:val="24"/>
          <w:szCs w:val="24"/>
          <w:lang w:val="en-US"/>
        </w:rPr>
        <w:t xml:space="preserve">rade </w:t>
      </w:r>
      <w:r>
        <w:rPr>
          <w:rFonts w:ascii="Times New Roman" w:hAnsi="Times New Roman" w:cs="Times New Roman"/>
          <w:sz w:val="24"/>
          <w:szCs w:val="24"/>
          <w:lang w:val="en-US"/>
        </w:rPr>
        <w:t>Reforms for the D</w:t>
      </w:r>
      <w:r w:rsidR="00DA468C" w:rsidRPr="00DA468C">
        <w:rPr>
          <w:rFonts w:ascii="Times New Roman" w:hAnsi="Times New Roman" w:cs="Times New Roman"/>
          <w:sz w:val="24"/>
          <w:szCs w:val="24"/>
          <w:lang w:val="en-US"/>
        </w:rPr>
        <w:t>esign of Aid for Trade”, Trade Policy Working Paper</w:t>
      </w:r>
      <w:r>
        <w:rPr>
          <w:rFonts w:ascii="Times New Roman" w:hAnsi="Times New Roman" w:cs="Times New Roman"/>
          <w:sz w:val="24"/>
          <w:szCs w:val="24"/>
          <w:lang w:val="en-US"/>
        </w:rPr>
        <w:t xml:space="preserve"> No.</w:t>
      </w:r>
      <w:r w:rsidR="00DA468C" w:rsidRPr="00DA468C">
        <w:rPr>
          <w:rFonts w:ascii="Times New Roman" w:hAnsi="Times New Roman" w:cs="Times New Roman"/>
          <w:sz w:val="24"/>
          <w:szCs w:val="24"/>
          <w:lang w:val="en-US"/>
        </w:rPr>
        <w:t xml:space="preserve"> 100, Paris</w:t>
      </w:r>
      <w:r>
        <w:rPr>
          <w:rFonts w:ascii="Times New Roman" w:hAnsi="Times New Roman" w:cs="Times New Roman"/>
          <w:sz w:val="24"/>
          <w:szCs w:val="24"/>
          <w:lang w:val="en-US"/>
        </w:rPr>
        <w:t>, OE</w:t>
      </w:r>
      <w:r w:rsidR="00DA468C" w:rsidRPr="00DA468C">
        <w:rPr>
          <w:rFonts w:ascii="Times New Roman" w:hAnsi="Times New Roman" w:cs="Times New Roman"/>
          <w:sz w:val="24"/>
          <w:szCs w:val="24"/>
          <w:lang w:val="en-US"/>
        </w:rPr>
        <w:t>CD.</w:t>
      </w:r>
    </w:p>
    <w:p w:rsidR="00DA468C" w:rsidRPr="00DA468C" w:rsidRDefault="00DA468C" w:rsidP="00DA468C">
      <w:pPr>
        <w:spacing w:before="120" w:after="120"/>
        <w:jc w:val="both"/>
        <w:rPr>
          <w:rFonts w:ascii="Times New Roman" w:hAnsi="Times New Roman" w:cs="Times New Roman"/>
          <w:sz w:val="24"/>
          <w:szCs w:val="24"/>
          <w:lang w:val="en-US"/>
        </w:rPr>
      </w:pPr>
      <w:proofErr w:type="spellStart"/>
      <w:r w:rsidRPr="00DA468C">
        <w:rPr>
          <w:rFonts w:ascii="Times New Roman" w:hAnsi="Times New Roman" w:cs="Times New Roman"/>
          <w:sz w:val="24"/>
          <w:szCs w:val="24"/>
          <w:lang w:val="en-US"/>
        </w:rPr>
        <w:lastRenderedPageBreak/>
        <w:t>Hausmann</w:t>
      </w:r>
      <w:proofErr w:type="spellEnd"/>
      <w:r w:rsidRPr="00DA468C">
        <w:rPr>
          <w:rFonts w:ascii="Times New Roman" w:hAnsi="Times New Roman" w:cs="Times New Roman"/>
          <w:sz w:val="24"/>
          <w:szCs w:val="24"/>
          <w:lang w:val="en-US"/>
        </w:rPr>
        <w:t xml:space="preserve"> R.</w:t>
      </w:r>
      <w:r w:rsidR="00363A8B">
        <w:rPr>
          <w:rFonts w:ascii="Times New Roman" w:hAnsi="Times New Roman" w:cs="Times New Roman"/>
          <w:sz w:val="24"/>
          <w:szCs w:val="24"/>
          <w:lang w:val="en-US"/>
        </w:rPr>
        <w:t>,</w:t>
      </w:r>
      <w:r w:rsidRPr="00DA468C">
        <w:rPr>
          <w:rFonts w:ascii="Times New Roman" w:hAnsi="Times New Roman" w:cs="Times New Roman"/>
          <w:sz w:val="24"/>
          <w:szCs w:val="24"/>
          <w:lang w:val="en-US"/>
        </w:rPr>
        <w:t xml:space="preserve"> </w:t>
      </w:r>
      <w:proofErr w:type="spellStart"/>
      <w:r w:rsidRPr="00DA468C">
        <w:rPr>
          <w:rFonts w:ascii="Times New Roman" w:hAnsi="Times New Roman" w:cs="Times New Roman"/>
          <w:sz w:val="24"/>
          <w:szCs w:val="24"/>
          <w:lang w:val="en-US"/>
        </w:rPr>
        <w:t>Rodrik</w:t>
      </w:r>
      <w:proofErr w:type="spellEnd"/>
      <w:r w:rsidRPr="00DA468C">
        <w:rPr>
          <w:rFonts w:ascii="Times New Roman" w:hAnsi="Times New Roman" w:cs="Times New Roman"/>
          <w:sz w:val="24"/>
          <w:szCs w:val="24"/>
          <w:lang w:val="en-US"/>
        </w:rPr>
        <w:t xml:space="preserve"> </w:t>
      </w:r>
      <w:r w:rsidR="00363A8B">
        <w:rPr>
          <w:rFonts w:ascii="Times New Roman" w:hAnsi="Times New Roman" w:cs="Times New Roman"/>
          <w:sz w:val="24"/>
          <w:szCs w:val="24"/>
          <w:lang w:val="en-US"/>
        </w:rPr>
        <w:t xml:space="preserve">D. </w:t>
      </w:r>
      <w:r w:rsidRPr="00DA468C">
        <w:rPr>
          <w:rFonts w:ascii="Times New Roman" w:hAnsi="Times New Roman" w:cs="Times New Roman"/>
          <w:sz w:val="24"/>
          <w:szCs w:val="24"/>
          <w:lang w:val="en-US"/>
        </w:rPr>
        <w:t>and Velasco</w:t>
      </w:r>
      <w:r w:rsidR="00363A8B">
        <w:rPr>
          <w:rFonts w:ascii="Times New Roman" w:hAnsi="Times New Roman" w:cs="Times New Roman"/>
          <w:sz w:val="24"/>
          <w:szCs w:val="24"/>
          <w:lang w:val="en-US"/>
        </w:rPr>
        <w:t xml:space="preserve"> A.</w:t>
      </w:r>
      <w:r w:rsidRPr="00DA468C">
        <w:rPr>
          <w:rFonts w:ascii="Times New Roman" w:hAnsi="Times New Roman" w:cs="Times New Roman"/>
          <w:sz w:val="24"/>
          <w:szCs w:val="24"/>
          <w:lang w:val="en-US"/>
        </w:rPr>
        <w:t xml:space="preserve"> (2005), </w:t>
      </w:r>
      <w:r w:rsidR="00363A8B">
        <w:rPr>
          <w:rFonts w:ascii="Times New Roman" w:hAnsi="Times New Roman" w:cs="Times New Roman"/>
          <w:sz w:val="24"/>
          <w:szCs w:val="24"/>
          <w:lang w:val="en-US"/>
        </w:rPr>
        <w:t>“</w:t>
      </w:r>
      <w:r w:rsidRPr="00DA468C">
        <w:rPr>
          <w:rFonts w:ascii="Times New Roman" w:hAnsi="Times New Roman" w:cs="Times New Roman"/>
          <w:sz w:val="24"/>
          <w:szCs w:val="24"/>
          <w:lang w:val="en-US"/>
        </w:rPr>
        <w:t>Growth Diagnostics</w:t>
      </w:r>
      <w:r w:rsidR="00363A8B">
        <w:rPr>
          <w:rFonts w:ascii="Times New Roman" w:hAnsi="Times New Roman" w:cs="Times New Roman"/>
          <w:sz w:val="24"/>
          <w:szCs w:val="24"/>
          <w:lang w:val="en-US"/>
        </w:rPr>
        <w:t>”</w:t>
      </w:r>
      <w:r w:rsidRPr="00DA468C">
        <w:rPr>
          <w:rFonts w:ascii="Times New Roman" w:hAnsi="Times New Roman" w:cs="Times New Roman"/>
          <w:sz w:val="24"/>
          <w:szCs w:val="24"/>
          <w:lang w:val="en-US"/>
        </w:rPr>
        <w:t xml:space="preserve">, </w:t>
      </w:r>
      <w:proofErr w:type="gramStart"/>
      <w:r w:rsidR="00363A8B">
        <w:rPr>
          <w:rFonts w:ascii="Times New Roman" w:hAnsi="Times New Roman" w:cs="Times New Roman"/>
          <w:sz w:val="24"/>
          <w:szCs w:val="24"/>
          <w:lang w:val="en-US"/>
        </w:rPr>
        <w:t>U</w:t>
      </w:r>
      <w:r w:rsidRPr="00DA468C">
        <w:rPr>
          <w:rFonts w:ascii="Times New Roman" w:hAnsi="Times New Roman" w:cs="Times New Roman"/>
          <w:sz w:val="24"/>
          <w:szCs w:val="24"/>
          <w:lang w:val="en-US"/>
        </w:rPr>
        <w:t>npublished</w:t>
      </w:r>
      <w:proofErr w:type="gramEnd"/>
      <w:r w:rsidRPr="00DA468C">
        <w:rPr>
          <w:rFonts w:ascii="Times New Roman" w:hAnsi="Times New Roman" w:cs="Times New Roman"/>
          <w:sz w:val="24"/>
          <w:szCs w:val="24"/>
          <w:lang w:val="en-US"/>
        </w:rPr>
        <w:t xml:space="preserve">, available at: http://ksghome.harvard.edu/~drodrik/barcelonafinalmarch2005.pdf. </w:t>
      </w:r>
    </w:p>
    <w:p w:rsidR="00DA468C" w:rsidRPr="00DA468C" w:rsidRDefault="00DA468C" w:rsidP="00DA468C">
      <w:pPr>
        <w:spacing w:before="120" w:after="120"/>
        <w:jc w:val="both"/>
        <w:rPr>
          <w:rFonts w:ascii="Times New Roman" w:hAnsi="Times New Roman" w:cs="Times New Roman"/>
          <w:sz w:val="24"/>
          <w:szCs w:val="24"/>
          <w:lang w:val="en-US"/>
        </w:rPr>
      </w:pPr>
      <w:proofErr w:type="spellStart"/>
      <w:proofErr w:type="gramStart"/>
      <w:r w:rsidRPr="00DA468C">
        <w:rPr>
          <w:rFonts w:ascii="Times New Roman" w:hAnsi="Times New Roman" w:cs="Times New Roman"/>
          <w:sz w:val="24"/>
          <w:szCs w:val="24"/>
          <w:lang w:val="en-US"/>
        </w:rPr>
        <w:t>Helble</w:t>
      </w:r>
      <w:proofErr w:type="spellEnd"/>
      <w:r w:rsidRPr="00DA468C">
        <w:rPr>
          <w:rFonts w:ascii="Times New Roman" w:hAnsi="Times New Roman" w:cs="Times New Roman"/>
          <w:sz w:val="24"/>
          <w:szCs w:val="24"/>
          <w:lang w:val="en-US"/>
        </w:rPr>
        <w:t xml:space="preserve"> M., Mann C and Wilson J. (2009), "Aid for Trade Facilitation", Policy Research Working Paper 5064, World Bank.</w:t>
      </w:r>
      <w:proofErr w:type="gramEnd"/>
    </w:p>
    <w:p w:rsidR="00DA468C" w:rsidRPr="00DA468C" w:rsidRDefault="00DA468C" w:rsidP="00DA468C">
      <w:pPr>
        <w:spacing w:before="120" w:after="120"/>
        <w:jc w:val="both"/>
        <w:rPr>
          <w:rFonts w:ascii="Times New Roman" w:hAnsi="Times New Roman" w:cs="Times New Roman"/>
          <w:sz w:val="24"/>
          <w:szCs w:val="24"/>
          <w:lang w:val="en-US"/>
        </w:rPr>
      </w:pPr>
      <w:r w:rsidRPr="00DA468C">
        <w:rPr>
          <w:rFonts w:ascii="Times New Roman" w:hAnsi="Times New Roman" w:cs="Times New Roman"/>
          <w:sz w:val="24"/>
          <w:szCs w:val="24"/>
          <w:lang w:val="en-US"/>
        </w:rPr>
        <w:t xml:space="preserve">Johansson L. and </w:t>
      </w:r>
      <w:proofErr w:type="spellStart"/>
      <w:r w:rsidRPr="00DA468C">
        <w:rPr>
          <w:rFonts w:ascii="Times New Roman" w:hAnsi="Times New Roman" w:cs="Times New Roman"/>
          <w:sz w:val="24"/>
          <w:szCs w:val="24"/>
          <w:lang w:val="en-US"/>
        </w:rPr>
        <w:t>Pettersson</w:t>
      </w:r>
      <w:proofErr w:type="spellEnd"/>
      <w:r w:rsidRPr="00DA468C">
        <w:rPr>
          <w:rFonts w:ascii="Times New Roman" w:hAnsi="Times New Roman" w:cs="Times New Roman"/>
          <w:sz w:val="24"/>
          <w:szCs w:val="24"/>
          <w:lang w:val="en-US"/>
        </w:rPr>
        <w:t xml:space="preserve"> J. (2009), "Tied Aid, Trade Facilitating Aid or Trade Diverting Aid?’’, Working Paper, </w:t>
      </w:r>
      <w:proofErr w:type="spellStart"/>
      <w:r w:rsidRPr="00DA468C">
        <w:rPr>
          <w:rFonts w:ascii="Times New Roman" w:hAnsi="Times New Roman" w:cs="Times New Roman"/>
          <w:sz w:val="24"/>
          <w:szCs w:val="24"/>
          <w:lang w:val="en-US"/>
        </w:rPr>
        <w:t>Departement</w:t>
      </w:r>
      <w:proofErr w:type="spellEnd"/>
      <w:r w:rsidRPr="00DA468C">
        <w:rPr>
          <w:rFonts w:ascii="Times New Roman" w:hAnsi="Times New Roman" w:cs="Times New Roman"/>
          <w:sz w:val="24"/>
          <w:szCs w:val="24"/>
          <w:lang w:val="en-US"/>
        </w:rPr>
        <w:t xml:space="preserve"> of Economics, Uppsala University, </w:t>
      </w:r>
      <w:proofErr w:type="gramStart"/>
      <w:r w:rsidRPr="00DA468C">
        <w:rPr>
          <w:rFonts w:ascii="Times New Roman" w:hAnsi="Times New Roman" w:cs="Times New Roman"/>
          <w:sz w:val="24"/>
          <w:szCs w:val="24"/>
          <w:lang w:val="en-US"/>
        </w:rPr>
        <w:t>No.2009:5</w:t>
      </w:r>
      <w:proofErr w:type="gramEnd"/>
      <w:r w:rsidRPr="00DA468C">
        <w:rPr>
          <w:rFonts w:ascii="Times New Roman" w:hAnsi="Times New Roman" w:cs="Times New Roman"/>
          <w:sz w:val="24"/>
          <w:szCs w:val="24"/>
          <w:lang w:val="en-US"/>
        </w:rPr>
        <w:t>,</w:t>
      </w:r>
      <w:r w:rsidR="00363A8B">
        <w:rPr>
          <w:rFonts w:ascii="Times New Roman" w:hAnsi="Times New Roman" w:cs="Times New Roman"/>
          <w:sz w:val="24"/>
          <w:szCs w:val="24"/>
          <w:lang w:val="en-US"/>
        </w:rPr>
        <w:t xml:space="preserve"> </w:t>
      </w:r>
      <w:hyperlink r:id="rId17" w:history="1">
        <w:r w:rsidRPr="00DA468C">
          <w:rPr>
            <w:rStyle w:val="Lienhypertexte"/>
            <w:rFonts w:ascii="Times New Roman" w:hAnsi="Times New Roman" w:cs="Times New Roman"/>
            <w:sz w:val="24"/>
            <w:szCs w:val="24"/>
            <w:lang w:val="en-US"/>
          </w:rPr>
          <w:t>http://nbn-resolving.de/urn:nbn:se:uu:diva-101264</w:t>
        </w:r>
      </w:hyperlink>
      <w:r w:rsidRPr="00DA468C">
        <w:rPr>
          <w:rFonts w:ascii="Times New Roman" w:hAnsi="Times New Roman" w:cs="Times New Roman"/>
          <w:sz w:val="24"/>
          <w:szCs w:val="24"/>
          <w:lang w:val="en-US"/>
        </w:rPr>
        <w:t>.</w:t>
      </w:r>
    </w:p>
    <w:p w:rsidR="00DA468C" w:rsidRPr="00DA468C" w:rsidRDefault="00DA468C" w:rsidP="00DA468C">
      <w:pPr>
        <w:spacing w:before="120" w:after="120"/>
        <w:jc w:val="both"/>
        <w:rPr>
          <w:rFonts w:ascii="Times New Roman" w:hAnsi="Times New Roman" w:cs="Times New Roman"/>
          <w:sz w:val="24"/>
          <w:szCs w:val="24"/>
          <w:lang w:val="en-US"/>
        </w:rPr>
      </w:pPr>
      <w:proofErr w:type="spellStart"/>
      <w:proofErr w:type="gramStart"/>
      <w:r w:rsidRPr="00DA468C">
        <w:rPr>
          <w:rFonts w:ascii="Times New Roman" w:hAnsi="Times New Roman" w:cs="Times New Roman"/>
          <w:sz w:val="24"/>
          <w:szCs w:val="24"/>
          <w:lang w:val="en-US"/>
        </w:rPr>
        <w:t>Lensink</w:t>
      </w:r>
      <w:proofErr w:type="spellEnd"/>
      <w:r w:rsidRPr="00DA468C">
        <w:rPr>
          <w:rFonts w:ascii="Times New Roman" w:hAnsi="Times New Roman" w:cs="Times New Roman"/>
          <w:sz w:val="24"/>
          <w:szCs w:val="24"/>
          <w:lang w:val="en-US"/>
        </w:rPr>
        <w:t xml:space="preserve"> R. and Morrissey O. (1999), "Aid Instability as a Measure of Uncertainty and the Positive Impact of Aid on Growth", </w:t>
      </w:r>
      <w:hyperlink r:id="rId18" w:history="1">
        <w:r w:rsidRPr="00DA468C">
          <w:rPr>
            <w:rStyle w:val="Lienhypertexte"/>
            <w:rFonts w:ascii="Times New Roman" w:hAnsi="Times New Roman" w:cs="Times New Roman"/>
            <w:sz w:val="24"/>
            <w:szCs w:val="24"/>
            <w:lang w:val="en-US"/>
          </w:rPr>
          <w:t>http://irs.ub.rug.nl/ppn/241140455</w:t>
        </w:r>
      </w:hyperlink>
      <w:r w:rsidRPr="00DA468C">
        <w:rPr>
          <w:rFonts w:ascii="Times New Roman" w:hAnsi="Times New Roman" w:cs="Times New Roman"/>
          <w:sz w:val="24"/>
          <w:szCs w:val="24"/>
          <w:lang w:val="en-US"/>
        </w:rPr>
        <w:t>.</w:t>
      </w:r>
      <w:proofErr w:type="gramEnd"/>
    </w:p>
    <w:p w:rsidR="00DA468C" w:rsidRPr="00DA468C" w:rsidRDefault="00DA468C" w:rsidP="00DA468C">
      <w:pPr>
        <w:spacing w:before="120" w:after="120"/>
        <w:jc w:val="both"/>
        <w:rPr>
          <w:rFonts w:ascii="Times New Roman" w:hAnsi="Times New Roman" w:cs="Times New Roman"/>
          <w:sz w:val="24"/>
          <w:szCs w:val="24"/>
          <w:lang w:val="en-US"/>
        </w:rPr>
      </w:pPr>
      <w:r w:rsidRPr="00DA468C">
        <w:rPr>
          <w:rFonts w:ascii="Times New Roman" w:hAnsi="Times New Roman" w:cs="Times New Roman"/>
          <w:sz w:val="24"/>
          <w:szCs w:val="24"/>
          <w:lang w:val="en-US"/>
        </w:rPr>
        <w:t>Mayer F. and Milberg W. (2013), "Aid for Trade in a World of Global Value Chains: Chain Power, the Distribution of Rents and Implications for the Form of Aid", Working Paper 34.</w:t>
      </w:r>
    </w:p>
    <w:p w:rsidR="00DA468C" w:rsidRPr="00DA468C" w:rsidRDefault="00DA468C" w:rsidP="00DA468C">
      <w:pPr>
        <w:spacing w:before="120" w:after="120"/>
        <w:jc w:val="both"/>
        <w:rPr>
          <w:rFonts w:ascii="Times New Roman" w:hAnsi="Times New Roman" w:cs="Times New Roman"/>
          <w:sz w:val="24"/>
          <w:szCs w:val="24"/>
        </w:rPr>
      </w:pPr>
      <w:r w:rsidRPr="00DA468C">
        <w:rPr>
          <w:rFonts w:ascii="Times New Roman" w:hAnsi="Times New Roman" w:cs="Times New Roman"/>
          <w:sz w:val="24"/>
          <w:szCs w:val="24"/>
        </w:rPr>
        <w:t xml:space="preserve">MCA Bénin (2012), “Rapport d’Achèvement du Programme du Bénin pour le Millenium Challenge </w:t>
      </w:r>
      <w:proofErr w:type="spellStart"/>
      <w:r w:rsidRPr="00DA468C">
        <w:rPr>
          <w:rFonts w:ascii="Times New Roman" w:hAnsi="Times New Roman" w:cs="Times New Roman"/>
          <w:sz w:val="24"/>
          <w:szCs w:val="24"/>
        </w:rPr>
        <w:t>Account</w:t>
      </w:r>
      <w:proofErr w:type="spellEnd"/>
      <w:r w:rsidRPr="00DA468C">
        <w:rPr>
          <w:rFonts w:ascii="Times New Roman" w:hAnsi="Times New Roman" w:cs="Times New Roman"/>
          <w:sz w:val="24"/>
          <w:szCs w:val="24"/>
        </w:rPr>
        <w:t>’’.</w:t>
      </w:r>
    </w:p>
    <w:p w:rsidR="00DA468C" w:rsidRPr="00DA468C" w:rsidRDefault="00363A8B" w:rsidP="00DA468C">
      <w:pPr>
        <w:spacing w:before="120" w:after="120"/>
        <w:jc w:val="both"/>
        <w:rPr>
          <w:rFonts w:ascii="Times New Roman" w:hAnsi="Times New Roman" w:cs="Times New Roman"/>
          <w:sz w:val="24"/>
          <w:szCs w:val="24"/>
          <w:lang w:val="en-US"/>
        </w:rPr>
      </w:pPr>
      <w:r>
        <w:rPr>
          <w:rFonts w:ascii="Times New Roman" w:hAnsi="Times New Roman" w:cs="Times New Roman"/>
          <w:sz w:val="24"/>
          <w:szCs w:val="24"/>
          <w:lang w:val="en-US"/>
        </w:rPr>
        <w:t>McCulloch</w:t>
      </w:r>
      <w:r w:rsidR="00DA468C" w:rsidRPr="00DA468C">
        <w:rPr>
          <w:rFonts w:ascii="Times New Roman" w:hAnsi="Times New Roman" w:cs="Times New Roman"/>
          <w:sz w:val="24"/>
          <w:szCs w:val="24"/>
          <w:lang w:val="en-US"/>
        </w:rPr>
        <w:t xml:space="preserve"> N., Winters </w:t>
      </w:r>
      <w:r>
        <w:rPr>
          <w:rFonts w:ascii="Times New Roman" w:hAnsi="Times New Roman" w:cs="Times New Roman"/>
          <w:sz w:val="24"/>
          <w:szCs w:val="24"/>
          <w:lang w:val="en-US"/>
        </w:rPr>
        <w:t xml:space="preserve">L. A. </w:t>
      </w:r>
      <w:r w:rsidR="00DA468C" w:rsidRPr="00DA468C">
        <w:rPr>
          <w:rFonts w:ascii="Times New Roman" w:hAnsi="Times New Roman" w:cs="Times New Roman"/>
          <w:sz w:val="24"/>
          <w:szCs w:val="24"/>
          <w:lang w:val="en-US"/>
        </w:rPr>
        <w:t xml:space="preserve">and </w:t>
      </w:r>
      <w:proofErr w:type="spellStart"/>
      <w:r w:rsidR="00DA468C" w:rsidRPr="00DA468C">
        <w:rPr>
          <w:rFonts w:ascii="Times New Roman" w:hAnsi="Times New Roman" w:cs="Times New Roman"/>
          <w:sz w:val="24"/>
          <w:szCs w:val="24"/>
          <w:lang w:val="en-US"/>
        </w:rPr>
        <w:t>Cirera</w:t>
      </w:r>
      <w:proofErr w:type="spellEnd"/>
      <w:r w:rsidR="00DA468C" w:rsidRPr="00DA468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X. </w:t>
      </w:r>
      <w:r w:rsidR="00DA468C" w:rsidRPr="00DA468C">
        <w:rPr>
          <w:rFonts w:ascii="Times New Roman" w:hAnsi="Times New Roman" w:cs="Times New Roman"/>
          <w:sz w:val="24"/>
          <w:szCs w:val="24"/>
          <w:lang w:val="en-US"/>
        </w:rPr>
        <w:t>(2001)</w:t>
      </w:r>
      <w:r>
        <w:rPr>
          <w:rFonts w:ascii="Times New Roman" w:hAnsi="Times New Roman" w:cs="Times New Roman"/>
          <w:sz w:val="24"/>
          <w:szCs w:val="24"/>
          <w:lang w:val="en-US"/>
        </w:rPr>
        <w:t>,</w:t>
      </w:r>
      <w:r w:rsidR="00DA468C" w:rsidRPr="00DA468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DA468C" w:rsidRPr="00DA468C">
        <w:rPr>
          <w:rFonts w:ascii="Times New Roman" w:hAnsi="Times New Roman" w:cs="Times New Roman"/>
          <w:sz w:val="24"/>
          <w:szCs w:val="24"/>
          <w:lang w:val="en-US"/>
        </w:rPr>
        <w:t xml:space="preserve">Trade </w:t>
      </w:r>
      <w:proofErr w:type="spellStart"/>
      <w:r w:rsidR="00DA468C" w:rsidRPr="00DA468C">
        <w:rPr>
          <w:rFonts w:ascii="Times New Roman" w:hAnsi="Times New Roman" w:cs="Times New Roman"/>
          <w:sz w:val="24"/>
          <w:szCs w:val="24"/>
          <w:lang w:val="en-US"/>
        </w:rPr>
        <w:t>Liberalisation</w:t>
      </w:r>
      <w:proofErr w:type="spellEnd"/>
      <w:r w:rsidR="00DA468C" w:rsidRPr="00DA468C">
        <w:rPr>
          <w:rFonts w:ascii="Times New Roman" w:hAnsi="Times New Roman" w:cs="Times New Roman"/>
          <w:sz w:val="24"/>
          <w:szCs w:val="24"/>
          <w:lang w:val="en-US"/>
        </w:rPr>
        <w:t xml:space="preserve"> and Poverty: A Handbook</w:t>
      </w:r>
      <w:r>
        <w:rPr>
          <w:rFonts w:ascii="Times New Roman" w:hAnsi="Times New Roman" w:cs="Times New Roman"/>
          <w:sz w:val="24"/>
          <w:szCs w:val="24"/>
          <w:lang w:val="en-US"/>
        </w:rPr>
        <w:t>”</w:t>
      </w:r>
      <w:r w:rsidR="00DA468C" w:rsidRPr="00DA468C">
        <w:rPr>
          <w:rFonts w:ascii="Times New Roman" w:hAnsi="Times New Roman" w:cs="Times New Roman"/>
          <w:sz w:val="24"/>
          <w:szCs w:val="24"/>
          <w:lang w:val="en-US"/>
        </w:rPr>
        <w:t>, London</w:t>
      </w:r>
      <w:r>
        <w:rPr>
          <w:rFonts w:ascii="Times New Roman" w:hAnsi="Times New Roman" w:cs="Times New Roman"/>
          <w:sz w:val="24"/>
          <w:szCs w:val="24"/>
          <w:lang w:val="en-US"/>
        </w:rPr>
        <w:t>,</w:t>
      </w:r>
      <w:r w:rsidR="00DA468C" w:rsidRPr="00DA468C">
        <w:rPr>
          <w:rFonts w:ascii="Times New Roman" w:hAnsi="Times New Roman" w:cs="Times New Roman"/>
          <w:sz w:val="24"/>
          <w:szCs w:val="24"/>
          <w:lang w:val="en-US"/>
        </w:rPr>
        <w:t xml:space="preserve"> CEPR.</w:t>
      </w:r>
    </w:p>
    <w:p w:rsidR="00DA468C" w:rsidRPr="00DA468C" w:rsidRDefault="00DA468C" w:rsidP="00DA468C">
      <w:pPr>
        <w:spacing w:before="120" w:after="120"/>
        <w:jc w:val="both"/>
        <w:rPr>
          <w:rFonts w:ascii="Times New Roman" w:hAnsi="Times New Roman" w:cs="Times New Roman"/>
          <w:sz w:val="24"/>
          <w:szCs w:val="24"/>
          <w:lang w:val="en-US"/>
        </w:rPr>
      </w:pPr>
      <w:r w:rsidRPr="00DA468C">
        <w:rPr>
          <w:rFonts w:ascii="Times New Roman" w:hAnsi="Times New Roman" w:cs="Times New Roman"/>
          <w:sz w:val="24"/>
          <w:szCs w:val="24"/>
          <w:lang w:val="en-US"/>
        </w:rPr>
        <w:t>OECD (2009), "Binding Constraints to Trade Expansion: Aid for Aid Objectives and Diagnostics Tools", OECD Trade Policy Working Paper No.94.</w:t>
      </w:r>
    </w:p>
    <w:p w:rsidR="00DA468C" w:rsidRPr="00DA468C" w:rsidRDefault="00363A8B" w:rsidP="00DA468C">
      <w:pPr>
        <w:pStyle w:val="Notedebasdepage"/>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OMD (2011), « Facilitation du C</w:t>
      </w:r>
      <w:r w:rsidR="00DA468C" w:rsidRPr="00DA468C">
        <w:rPr>
          <w:rFonts w:ascii="Times New Roman" w:hAnsi="Times New Roman" w:cs="Times New Roman"/>
          <w:sz w:val="24"/>
          <w:szCs w:val="24"/>
        </w:rPr>
        <w:t xml:space="preserve">ommerce : Instruments, </w:t>
      </w:r>
      <w:r>
        <w:rPr>
          <w:rFonts w:ascii="Times New Roman" w:hAnsi="Times New Roman" w:cs="Times New Roman"/>
          <w:sz w:val="24"/>
          <w:szCs w:val="24"/>
        </w:rPr>
        <w:t>Approches, T</w:t>
      </w:r>
      <w:r w:rsidR="00DA468C" w:rsidRPr="00DA468C">
        <w:rPr>
          <w:rFonts w:ascii="Times New Roman" w:hAnsi="Times New Roman" w:cs="Times New Roman"/>
          <w:sz w:val="24"/>
          <w:szCs w:val="24"/>
        </w:rPr>
        <w:t xml:space="preserve">endances, </w:t>
      </w:r>
      <w:r>
        <w:rPr>
          <w:rFonts w:ascii="Times New Roman" w:hAnsi="Times New Roman" w:cs="Times New Roman"/>
          <w:sz w:val="24"/>
          <w:szCs w:val="24"/>
        </w:rPr>
        <w:t>I</w:t>
      </w:r>
      <w:r w:rsidR="00DA468C" w:rsidRPr="00DA468C">
        <w:rPr>
          <w:rFonts w:ascii="Times New Roman" w:hAnsi="Times New Roman" w:cs="Times New Roman"/>
          <w:sz w:val="24"/>
          <w:szCs w:val="24"/>
        </w:rPr>
        <w:t>nitiatives et plus encore ».</w:t>
      </w:r>
    </w:p>
    <w:p w:rsidR="00DA468C" w:rsidRPr="00DA468C" w:rsidRDefault="0050671B" w:rsidP="00DA468C">
      <w:pPr>
        <w:pStyle w:val="Notedebasdepage"/>
        <w:spacing w:before="120"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OECD</w:t>
      </w:r>
      <w:r w:rsidR="00DA468C" w:rsidRPr="00DA468C">
        <w:rPr>
          <w:rFonts w:ascii="Times New Roman" w:hAnsi="Times New Roman" w:cs="Times New Roman"/>
          <w:sz w:val="24"/>
          <w:szCs w:val="24"/>
          <w:lang w:val="en-US"/>
        </w:rPr>
        <w:t xml:space="preserve"> (2009), </w:t>
      </w:r>
      <w:r>
        <w:rPr>
          <w:rFonts w:ascii="Times New Roman" w:hAnsi="Times New Roman" w:cs="Times New Roman"/>
          <w:sz w:val="24"/>
          <w:szCs w:val="24"/>
          <w:lang w:val="en-US"/>
        </w:rPr>
        <w:t>“</w:t>
      </w:r>
      <w:r w:rsidR="00DA468C" w:rsidRPr="00DA468C">
        <w:rPr>
          <w:rFonts w:ascii="Times New Roman" w:hAnsi="Times New Roman" w:cs="Times New Roman"/>
          <w:sz w:val="24"/>
          <w:szCs w:val="24"/>
          <w:lang w:val="en-US"/>
        </w:rPr>
        <w:t>Trading Out of Poverty: How Aid for Trade Can Help</w:t>
      </w:r>
      <w:r>
        <w:rPr>
          <w:rFonts w:ascii="Times New Roman" w:hAnsi="Times New Roman" w:cs="Times New Roman"/>
          <w:sz w:val="24"/>
          <w:szCs w:val="24"/>
          <w:lang w:val="en-US"/>
        </w:rPr>
        <w:t>”</w:t>
      </w:r>
      <w:r w:rsidR="00DA468C" w:rsidRPr="00DA468C">
        <w:rPr>
          <w:rFonts w:ascii="Times New Roman" w:hAnsi="Times New Roman" w:cs="Times New Roman"/>
          <w:sz w:val="24"/>
          <w:szCs w:val="24"/>
          <w:lang w:val="en-US"/>
        </w:rPr>
        <w:t>, Paris</w:t>
      </w:r>
      <w:r>
        <w:rPr>
          <w:rFonts w:ascii="Times New Roman" w:hAnsi="Times New Roman" w:cs="Times New Roman"/>
          <w:sz w:val="24"/>
          <w:szCs w:val="24"/>
          <w:lang w:val="en-US"/>
        </w:rPr>
        <w:t>,</w:t>
      </w:r>
      <w:r w:rsidR="00DA468C" w:rsidRPr="00DA468C">
        <w:rPr>
          <w:rFonts w:ascii="Times New Roman" w:hAnsi="Times New Roman" w:cs="Times New Roman"/>
          <w:sz w:val="24"/>
          <w:szCs w:val="24"/>
          <w:lang w:val="en-US"/>
        </w:rPr>
        <w:t xml:space="preserve"> OECD.</w:t>
      </w:r>
    </w:p>
    <w:p w:rsidR="00DA468C" w:rsidRPr="00DA468C" w:rsidRDefault="00DA468C" w:rsidP="00DA468C">
      <w:pPr>
        <w:spacing w:before="120" w:after="120"/>
        <w:jc w:val="both"/>
        <w:rPr>
          <w:rFonts w:ascii="Times New Roman" w:hAnsi="Times New Roman" w:cs="Times New Roman"/>
          <w:sz w:val="24"/>
          <w:szCs w:val="24"/>
          <w:lang w:val="en-US"/>
        </w:rPr>
      </w:pPr>
      <w:r w:rsidRPr="00DA468C">
        <w:rPr>
          <w:rFonts w:ascii="Times New Roman" w:hAnsi="Times New Roman" w:cs="Times New Roman"/>
          <w:sz w:val="24"/>
          <w:szCs w:val="24"/>
          <w:lang w:val="en-US"/>
        </w:rPr>
        <w:t>O</w:t>
      </w:r>
      <w:r w:rsidR="0050671B">
        <w:rPr>
          <w:rFonts w:ascii="Times New Roman" w:hAnsi="Times New Roman" w:cs="Times New Roman"/>
          <w:sz w:val="24"/>
          <w:szCs w:val="24"/>
          <w:lang w:val="en-US"/>
        </w:rPr>
        <w:t xml:space="preserve">ECD and </w:t>
      </w:r>
      <w:r w:rsidRPr="00DA468C">
        <w:rPr>
          <w:rFonts w:ascii="Times New Roman" w:hAnsi="Times New Roman" w:cs="Times New Roman"/>
          <w:sz w:val="24"/>
          <w:szCs w:val="24"/>
          <w:lang w:val="en-US"/>
        </w:rPr>
        <w:t>W</w:t>
      </w:r>
      <w:r w:rsidR="0050671B">
        <w:rPr>
          <w:rFonts w:ascii="Times New Roman" w:hAnsi="Times New Roman" w:cs="Times New Roman"/>
          <w:sz w:val="24"/>
          <w:szCs w:val="24"/>
          <w:lang w:val="en-US"/>
        </w:rPr>
        <w:t>TO</w:t>
      </w:r>
      <w:r w:rsidRPr="00DA468C">
        <w:rPr>
          <w:rFonts w:ascii="Times New Roman" w:hAnsi="Times New Roman" w:cs="Times New Roman"/>
          <w:sz w:val="24"/>
          <w:szCs w:val="24"/>
          <w:lang w:val="en-US"/>
        </w:rPr>
        <w:t xml:space="preserve"> (2009)</w:t>
      </w:r>
      <w:r w:rsidR="0050671B">
        <w:rPr>
          <w:rFonts w:ascii="Times New Roman" w:hAnsi="Times New Roman" w:cs="Times New Roman"/>
          <w:sz w:val="24"/>
          <w:szCs w:val="24"/>
          <w:lang w:val="en-US"/>
        </w:rPr>
        <w:t>,</w:t>
      </w:r>
      <w:r w:rsidRPr="00DA468C">
        <w:rPr>
          <w:rFonts w:ascii="Times New Roman" w:hAnsi="Times New Roman" w:cs="Times New Roman"/>
          <w:sz w:val="24"/>
          <w:szCs w:val="24"/>
          <w:lang w:val="en-US"/>
        </w:rPr>
        <w:t xml:space="preserve"> </w:t>
      </w:r>
      <w:r w:rsidR="0050671B">
        <w:rPr>
          <w:rFonts w:ascii="Times New Roman" w:hAnsi="Times New Roman" w:cs="Times New Roman"/>
          <w:sz w:val="24"/>
          <w:szCs w:val="24"/>
          <w:lang w:val="en-US"/>
        </w:rPr>
        <w:t>“</w:t>
      </w:r>
      <w:r w:rsidRPr="00DA468C">
        <w:rPr>
          <w:rFonts w:ascii="Times New Roman" w:hAnsi="Times New Roman" w:cs="Times New Roman"/>
          <w:sz w:val="24"/>
          <w:szCs w:val="24"/>
          <w:lang w:val="en-US"/>
        </w:rPr>
        <w:t xml:space="preserve">Aid for Trade at a Glance </w:t>
      </w:r>
      <w:proofErr w:type="gramStart"/>
      <w:r w:rsidRPr="00DA468C">
        <w:rPr>
          <w:rFonts w:ascii="Times New Roman" w:hAnsi="Times New Roman" w:cs="Times New Roman"/>
          <w:sz w:val="24"/>
          <w:szCs w:val="24"/>
          <w:lang w:val="en-US"/>
        </w:rPr>
        <w:t>2009</w:t>
      </w:r>
      <w:r w:rsidR="0050671B">
        <w:rPr>
          <w:rFonts w:ascii="Times New Roman" w:hAnsi="Times New Roman" w:cs="Times New Roman"/>
          <w:sz w:val="24"/>
          <w:szCs w:val="24"/>
          <w:lang w:val="en-US"/>
        </w:rPr>
        <w:t xml:space="preserve"> </w:t>
      </w:r>
      <w:r w:rsidRPr="00DA468C">
        <w:rPr>
          <w:rFonts w:ascii="Times New Roman" w:hAnsi="Times New Roman" w:cs="Times New Roman"/>
          <w:sz w:val="24"/>
          <w:szCs w:val="24"/>
          <w:lang w:val="en-US"/>
        </w:rPr>
        <w:t>:</w:t>
      </w:r>
      <w:proofErr w:type="gramEnd"/>
      <w:r w:rsidRPr="00DA468C">
        <w:rPr>
          <w:rFonts w:ascii="Times New Roman" w:hAnsi="Times New Roman" w:cs="Times New Roman"/>
          <w:sz w:val="24"/>
          <w:szCs w:val="24"/>
          <w:lang w:val="en-US"/>
        </w:rPr>
        <w:t xml:space="preserve"> Maintaining Momentum</w:t>
      </w:r>
      <w:r w:rsidR="0050671B">
        <w:rPr>
          <w:rFonts w:ascii="Times New Roman" w:hAnsi="Times New Roman" w:cs="Times New Roman"/>
          <w:sz w:val="24"/>
          <w:szCs w:val="24"/>
          <w:lang w:val="en-US"/>
        </w:rPr>
        <w:t>”</w:t>
      </w:r>
      <w:r w:rsidRPr="00DA468C">
        <w:rPr>
          <w:rFonts w:ascii="Times New Roman" w:hAnsi="Times New Roman" w:cs="Times New Roman"/>
          <w:sz w:val="24"/>
          <w:szCs w:val="24"/>
          <w:lang w:val="en-US"/>
        </w:rPr>
        <w:t>, Paris</w:t>
      </w:r>
      <w:r w:rsidR="0050671B">
        <w:rPr>
          <w:rFonts w:ascii="Times New Roman" w:hAnsi="Times New Roman" w:cs="Times New Roman"/>
          <w:sz w:val="24"/>
          <w:szCs w:val="24"/>
          <w:lang w:val="en-US"/>
        </w:rPr>
        <w:t>.</w:t>
      </w:r>
    </w:p>
    <w:p w:rsidR="00DA468C" w:rsidRPr="00DA468C" w:rsidRDefault="00DA468C" w:rsidP="00DA468C">
      <w:pPr>
        <w:spacing w:before="120" w:after="120"/>
        <w:jc w:val="both"/>
        <w:rPr>
          <w:rFonts w:ascii="Times New Roman" w:hAnsi="Times New Roman" w:cs="Times New Roman"/>
          <w:sz w:val="24"/>
          <w:szCs w:val="24"/>
          <w:lang w:val="en-US"/>
        </w:rPr>
      </w:pPr>
      <w:proofErr w:type="spellStart"/>
      <w:proofErr w:type="gramStart"/>
      <w:r w:rsidRPr="00DA468C">
        <w:rPr>
          <w:rFonts w:ascii="Times New Roman" w:hAnsi="Times New Roman" w:cs="Times New Roman"/>
          <w:sz w:val="24"/>
          <w:szCs w:val="24"/>
          <w:lang w:val="en-US"/>
        </w:rPr>
        <w:t>Poirine</w:t>
      </w:r>
      <w:proofErr w:type="spellEnd"/>
      <w:r w:rsidRPr="00DA468C">
        <w:rPr>
          <w:rFonts w:ascii="Times New Roman" w:hAnsi="Times New Roman" w:cs="Times New Roman"/>
          <w:sz w:val="24"/>
          <w:szCs w:val="24"/>
          <w:lang w:val="en-US"/>
        </w:rPr>
        <w:t xml:space="preserve"> B. (1999), "A Theory of Aid as Trade with Special Reference to Small Islands", </w:t>
      </w:r>
      <w:r w:rsidRPr="0050671B">
        <w:rPr>
          <w:rFonts w:ascii="Times New Roman" w:hAnsi="Times New Roman" w:cs="Times New Roman"/>
          <w:i/>
          <w:sz w:val="24"/>
          <w:szCs w:val="24"/>
          <w:lang w:val="en-US"/>
        </w:rPr>
        <w:t>Economic Development and Cultural Change</w:t>
      </w:r>
      <w:r w:rsidRPr="00DA468C">
        <w:rPr>
          <w:rFonts w:ascii="Times New Roman" w:hAnsi="Times New Roman" w:cs="Times New Roman"/>
          <w:sz w:val="24"/>
          <w:szCs w:val="24"/>
          <w:lang w:val="en-US"/>
        </w:rPr>
        <w:t>, Vol. 47, No.4, pp.831-852.</w:t>
      </w:r>
      <w:proofErr w:type="gramEnd"/>
    </w:p>
    <w:p w:rsidR="00DA468C" w:rsidRPr="00DA468C" w:rsidRDefault="00DA468C" w:rsidP="00DA468C">
      <w:pPr>
        <w:spacing w:before="120" w:after="120"/>
        <w:jc w:val="both"/>
        <w:rPr>
          <w:rFonts w:ascii="Times New Roman" w:hAnsi="Times New Roman" w:cs="Times New Roman"/>
          <w:sz w:val="24"/>
          <w:szCs w:val="24"/>
          <w:lang w:val="en-US"/>
        </w:rPr>
      </w:pPr>
      <w:proofErr w:type="spellStart"/>
      <w:r w:rsidRPr="00DA468C">
        <w:rPr>
          <w:rFonts w:ascii="Times New Roman" w:hAnsi="Times New Roman" w:cs="Times New Roman"/>
          <w:sz w:val="24"/>
          <w:szCs w:val="24"/>
          <w:lang w:val="en-US"/>
        </w:rPr>
        <w:t>Rippel</w:t>
      </w:r>
      <w:proofErr w:type="spellEnd"/>
      <w:r w:rsidRPr="00DA468C">
        <w:rPr>
          <w:rFonts w:ascii="Times New Roman" w:hAnsi="Times New Roman" w:cs="Times New Roman"/>
          <w:sz w:val="24"/>
          <w:szCs w:val="24"/>
          <w:lang w:val="en-US"/>
        </w:rPr>
        <w:t xml:space="preserve"> B. (2011), “Why Trade Facilitation is Important for Africa”, Africa Trade Policy Notes, No. 27, World Bank, Washington DC.</w:t>
      </w:r>
    </w:p>
    <w:p w:rsidR="00DA468C" w:rsidRPr="00DA468C" w:rsidRDefault="00DA468C" w:rsidP="00DA468C">
      <w:pPr>
        <w:spacing w:before="120" w:after="120"/>
        <w:jc w:val="both"/>
        <w:rPr>
          <w:rFonts w:ascii="Times New Roman" w:hAnsi="Times New Roman" w:cs="Times New Roman"/>
          <w:sz w:val="24"/>
          <w:szCs w:val="24"/>
          <w:lang w:val="en-US"/>
        </w:rPr>
      </w:pPr>
      <w:proofErr w:type="spellStart"/>
      <w:r w:rsidRPr="00DA468C">
        <w:rPr>
          <w:rFonts w:ascii="Times New Roman" w:hAnsi="Times New Roman" w:cs="Times New Roman"/>
          <w:sz w:val="24"/>
          <w:szCs w:val="24"/>
          <w:lang w:val="en-US"/>
        </w:rPr>
        <w:t>Rodrik</w:t>
      </w:r>
      <w:proofErr w:type="spellEnd"/>
      <w:r w:rsidRPr="00DA468C">
        <w:rPr>
          <w:rFonts w:ascii="Times New Roman" w:hAnsi="Times New Roman" w:cs="Times New Roman"/>
          <w:sz w:val="24"/>
          <w:szCs w:val="24"/>
          <w:lang w:val="en-US"/>
        </w:rPr>
        <w:t>, D. (1998), ‘’Trade Policy and Economic Performance in Sub-Saharan Africa, Cambridge, Massachusetts: NBER’’, Working Paper 6562.</w:t>
      </w:r>
    </w:p>
    <w:p w:rsidR="00DA468C" w:rsidRPr="00DA468C" w:rsidRDefault="00DA468C" w:rsidP="00DA468C">
      <w:pPr>
        <w:spacing w:before="120" w:after="120"/>
        <w:jc w:val="both"/>
        <w:rPr>
          <w:rFonts w:ascii="Times New Roman" w:hAnsi="Times New Roman" w:cs="Times New Roman"/>
          <w:sz w:val="24"/>
          <w:szCs w:val="24"/>
          <w:lang w:val="en-US"/>
        </w:rPr>
      </w:pPr>
      <w:proofErr w:type="spellStart"/>
      <w:r w:rsidRPr="00DA468C">
        <w:rPr>
          <w:rFonts w:ascii="Times New Roman" w:hAnsi="Times New Roman" w:cs="Times New Roman"/>
          <w:sz w:val="24"/>
          <w:szCs w:val="24"/>
          <w:lang w:val="en-US"/>
        </w:rPr>
        <w:t>Stiglitz</w:t>
      </w:r>
      <w:proofErr w:type="spellEnd"/>
      <w:r w:rsidRPr="00DA468C">
        <w:rPr>
          <w:rFonts w:ascii="Times New Roman" w:hAnsi="Times New Roman" w:cs="Times New Roman"/>
          <w:sz w:val="24"/>
          <w:szCs w:val="24"/>
          <w:lang w:val="en-US"/>
        </w:rPr>
        <w:t xml:space="preserve"> J. and Charlton A. (2006), "Aide for Trade: A Report for the Commonwealth Secretariat".</w:t>
      </w:r>
    </w:p>
    <w:p w:rsidR="00DA468C" w:rsidRPr="00DA468C" w:rsidRDefault="00DA468C" w:rsidP="00DA468C">
      <w:pPr>
        <w:spacing w:before="120" w:after="120"/>
        <w:jc w:val="both"/>
        <w:rPr>
          <w:rFonts w:ascii="Times New Roman" w:hAnsi="Times New Roman" w:cs="Times New Roman"/>
          <w:sz w:val="24"/>
          <w:szCs w:val="24"/>
          <w:lang w:val="en-US"/>
        </w:rPr>
      </w:pPr>
      <w:proofErr w:type="spellStart"/>
      <w:proofErr w:type="gramStart"/>
      <w:r w:rsidRPr="00DA468C">
        <w:rPr>
          <w:rFonts w:ascii="Times New Roman" w:hAnsi="Times New Roman" w:cs="Times New Roman"/>
          <w:sz w:val="24"/>
          <w:szCs w:val="24"/>
          <w:lang w:val="en-US"/>
        </w:rPr>
        <w:t>Vijil</w:t>
      </w:r>
      <w:proofErr w:type="spellEnd"/>
      <w:r w:rsidRPr="00DA468C">
        <w:rPr>
          <w:rFonts w:ascii="Times New Roman" w:hAnsi="Times New Roman" w:cs="Times New Roman"/>
          <w:sz w:val="24"/>
          <w:szCs w:val="24"/>
          <w:lang w:val="en-US"/>
        </w:rPr>
        <w:t xml:space="preserve"> M. and Wagner L. (2010), "Does Aid for Trade Enhance Export Performance?</w:t>
      </w:r>
      <w:proofErr w:type="gramEnd"/>
      <w:r w:rsidRPr="00DA468C">
        <w:rPr>
          <w:rFonts w:ascii="Times New Roman" w:hAnsi="Times New Roman" w:cs="Times New Roman"/>
          <w:sz w:val="24"/>
          <w:szCs w:val="24"/>
          <w:lang w:val="en-US"/>
        </w:rPr>
        <w:t xml:space="preserve"> </w:t>
      </w:r>
      <w:proofErr w:type="gramStart"/>
      <w:r w:rsidRPr="00DA468C">
        <w:rPr>
          <w:rFonts w:ascii="Times New Roman" w:hAnsi="Times New Roman" w:cs="Times New Roman"/>
          <w:sz w:val="24"/>
          <w:szCs w:val="24"/>
          <w:lang w:val="en-US"/>
        </w:rPr>
        <w:t>Investigating on the Infrastructure Channel</w:t>
      </w:r>
      <w:r w:rsidR="0050671B">
        <w:rPr>
          <w:rFonts w:ascii="Times New Roman" w:hAnsi="Times New Roman" w:cs="Times New Roman"/>
          <w:sz w:val="24"/>
          <w:szCs w:val="24"/>
          <w:lang w:val="en-US"/>
        </w:rPr>
        <w:t>”</w:t>
      </w:r>
      <w:r w:rsidRPr="00DA468C">
        <w:rPr>
          <w:rFonts w:ascii="Times New Roman" w:hAnsi="Times New Roman" w:cs="Times New Roman"/>
          <w:sz w:val="24"/>
          <w:szCs w:val="24"/>
          <w:lang w:val="en-US"/>
        </w:rPr>
        <w:t>, Working Paper SMART-LERECO N°10-O1.</w:t>
      </w:r>
      <w:proofErr w:type="gramEnd"/>
    </w:p>
    <w:p w:rsidR="00DA468C" w:rsidRPr="00DA468C" w:rsidRDefault="00DA468C" w:rsidP="00DA468C">
      <w:pPr>
        <w:spacing w:before="120" w:after="120"/>
        <w:jc w:val="both"/>
        <w:rPr>
          <w:rFonts w:ascii="Times New Roman" w:hAnsi="Times New Roman" w:cs="Times New Roman"/>
          <w:sz w:val="24"/>
          <w:szCs w:val="24"/>
          <w:lang w:val="en-US"/>
        </w:rPr>
      </w:pPr>
      <w:r w:rsidRPr="00DA468C">
        <w:rPr>
          <w:rFonts w:ascii="Times New Roman" w:hAnsi="Times New Roman" w:cs="Times New Roman"/>
          <w:sz w:val="24"/>
          <w:szCs w:val="24"/>
          <w:lang w:val="en-US"/>
        </w:rPr>
        <w:t>World Bank (2005), ‘’Economic Growth in the 1990s: Learning from a Decade of Reform’’, Washington, D.C</w:t>
      </w:r>
      <w:r w:rsidR="0050671B">
        <w:rPr>
          <w:rFonts w:ascii="Times New Roman" w:hAnsi="Times New Roman" w:cs="Times New Roman"/>
          <w:sz w:val="24"/>
          <w:szCs w:val="24"/>
          <w:lang w:val="en-US"/>
        </w:rPr>
        <w:t>,</w:t>
      </w:r>
      <w:r w:rsidRPr="00DA468C">
        <w:rPr>
          <w:rFonts w:ascii="Times New Roman" w:hAnsi="Times New Roman" w:cs="Times New Roman"/>
          <w:sz w:val="24"/>
          <w:szCs w:val="24"/>
          <w:lang w:val="en-US"/>
        </w:rPr>
        <w:t xml:space="preserve"> World Bank.</w:t>
      </w:r>
    </w:p>
    <w:p w:rsidR="005D3733" w:rsidRPr="00DA468C" w:rsidRDefault="00DA468C" w:rsidP="0050671B">
      <w:pPr>
        <w:spacing w:before="120" w:after="120"/>
        <w:jc w:val="both"/>
        <w:rPr>
          <w:rFonts w:ascii="Times New Roman" w:hAnsi="Times New Roman" w:cs="Times New Roman"/>
          <w:sz w:val="24"/>
          <w:szCs w:val="24"/>
          <w:lang w:val="en-US"/>
        </w:rPr>
      </w:pPr>
      <w:r w:rsidRPr="00DA468C">
        <w:rPr>
          <w:rFonts w:ascii="Times New Roman" w:hAnsi="Times New Roman" w:cs="Times New Roman"/>
          <w:sz w:val="24"/>
          <w:szCs w:val="24"/>
          <w:lang w:val="en-US"/>
        </w:rPr>
        <w:t>W</w:t>
      </w:r>
      <w:r w:rsidR="0050671B">
        <w:rPr>
          <w:rFonts w:ascii="Times New Roman" w:hAnsi="Times New Roman" w:cs="Times New Roman"/>
          <w:sz w:val="24"/>
          <w:szCs w:val="24"/>
          <w:lang w:val="en-US"/>
        </w:rPr>
        <w:t xml:space="preserve">TO </w:t>
      </w:r>
      <w:r w:rsidRPr="00DA468C">
        <w:rPr>
          <w:rFonts w:ascii="Times New Roman" w:hAnsi="Times New Roman" w:cs="Times New Roman"/>
          <w:sz w:val="24"/>
          <w:szCs w:val="24"/>
          <w:lang w:val="en-US"/>
        </w:rPr>
        <w:t xml:space="preserve">(2005), ‘‘Doha Work </w:t>
      </w:r>
      <w:proofErr w:type="spellStart"/>
      <w:proofErr w:type="gramStart"/>
      <w:r w:rsidRPr="00DA468C">
        <w:rPr>
          <w:rFonts w:ascii="Times New Roman" w:hAnsi="Times New Roman" w:cs="Times New Roman"/>
          <w:sz w:val="24"/>
          <w:szCs w:val="24"/>
          <w:lang w:val="en-US"/>
        </w:rPr>
        <w:t>Programme</w:t>
      </w:r>
      <w:proofErr w:type="spellEnd"/>
      <w:r w:rsidR="0050671B">
        <w:rPr>
          <w:rFonts w:ascii="Times New Roman" w:hAnsi="Times New Roman" w:cs="Times New Roman"/>
          <w:sz w:val="24"/>
          <w:szCs w:val="24"/>
          <w:lang w:val="en-US"/>
        </w:rPr>
        <w:t xml:space="preserve"> </w:t>
      </w:r>
      <w:r w:rsidRPr="00DA468C">
        <w:rPr>
          <w:rFonts w:ascii="Times New Roman" w:hAnsi="Times New Roman" w:cs="Times New Roman"/>
          <w:sz w:val="24"/>
          <w:szCs w:val="24"/>
          <w:lang w:val="en-US"/>
        </w:rPr>
        <w:t>:</w:t>
      </w:r>
      <w:proofErr w:type="gramEnd"/>
      <w:r w:rsidRPr="00DA468C">
        <w:rPr>
          <w:rFonts w:ascii="Times New Roman" w:hAnsi="Times New Roman" w:cs="Times New Roman"/>
          <w:sz w:val="24"/>
          <w:szCs w:val="24"/>
          <w:lang w:val="en-US"/>
        </w:rPr>
        <w:t xml:space="preserve"> Ministerial</w:t>
      </w:r>
      <w:r w:rsidR="0050671B">
        <w:rPr>
          <w:rFonts w:ascii="Times New Roman" w:hAnsi="Times New Roman" w:cs="Times New Roman"/>
          <w:sz w:val="24"/>
          <w:szCs w:val="24"/>
          <w:lang w:val="en-US"/>
        </w:rPr>
        <w:t xml:space="preserve"> Declaration’’, WT/MIN(05)/DEC</w:t>
      </w:r>
      <w:r w:rsidRPr="00DA468C">
        <w:rPr>
          <w:rFonts w:ascii="Times New Roman" w:hAnsi="Times New Roman" w:cs="Times New Roman"/>
          <w:sz w:val="24"/>
          <w:szCs w:val="24"/>
          <w:lang w:val="en-US"/>
        </w:rPr>
        <w:t>.</w:t>
      </w:r>
    </w:p>
    <w:sectPr w:rsidR="005D3733" w:rsidRPr="00DA468C" w:rsidSect="005819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53D" w:rsidRDefault="00A4353D" w:rsidP="007318B8">
      <w:pPr>
        <w:spacing w:after="0" w:line="240" w:lineRule="auto"/>
      </w:pPr>
      <w:r>
        <w:separator/>
      </w:r>
    </w:p>
  </w:endnote>
  <w:endnote w:type="continuationSeparator" w:id="0">
    <w:p w:rsidR="00A4353D" w:rsidRDefault="00A4353D" w:rsidP="0073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Garamond Pro">
    <w:panose1 w:val="00000000000000000000"/>
    <w:charset w:val="00"/>
    <w:family w:val="roman"/>
    <w:notTrueType/>
    <w:pitch w:val="variable"/>
    <w:sig w:usb0="800000AF" w:usb1="5000205B" w:usb2="00000000" w:usb3="00000000" w:csb0="0000009B" w:csb1="00000000"/>
  </w:font>
  <w:font w:name="DIMNTX+Caecilia-Roman">
    <w:altName w:val="Caecil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19238"/>
      <w:docPartObj>
        <w:docPartGallery w:val="Page Numbers (Bottom of Page)"/>
        <w:docPartUnique/>
      </w:docPartObj>
    </w:sdtPr>
    <w:sdtEndPr/>
    <w:sdtContent>
      <w:p w:rsidR="003428ED" w:rsidRDefault="003428ED">
        <w:pPr>
          <w:pStyle w:val="Pieddepage"/>
          <w:jc w:val="center"/>
        </w:pPr>
        <w:r>
          <w:t>[</w:t>
        </w:r>
        <w:r w:rsidR="00A4353D">
          <w:fldChar w:fldCharType="begin"/>
        </w:r>
        <w:r w:rsidR="00A4353D">
          <w:instrText xml:space="preserve"> PAGE   \* MERGEFORMAT </w:instrText>
        </w:r>
        <w:r w:rsidR="00A4353D">
          <w:fldChar w:fldCharType="separate"/>
        </w:r>
        <w:r w:rsidR="005A5985">
          <w:rPr>
            <w:noProof/>
          </w:rPr>
          <w:t>26</w:t>
        </w:r>
        <w:r w:rsidR="00A4353D">
          <w:rPr>
            <w:noProof/>
          </w:rPr>
          <w:fldChar w:fldCharType="end"/>
        </w:r>
        <w:r>
          <w:t>]</w:t>
        </w:r>
      </w:p>
    </w:sdtContent>
  </w:sdt>
  <w:p w:rsidR="003428ED" w:rsidRDefault="003428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53D" w:rsidRDefault="00A4353D" w:rsidP="007318B8">
      <w:pPr>
        <w:spacing w:after="0" w:line="240" w:lineRule="auto"/>
      </w:pPr>
      <w:r>
        <w:separator/>
      </w:r>
    </w:p>
  </w:footnote>
  <w:footnote w:type="continuationSeparator" w:id="0">
    <w:p w:rsidR="00A4353D" w:rsidRDefault="00A4353D" w:rsidP="007318B8">
      <w:pPr>
        <w:spacing w:after="0" w:line="240" w:lineRule="auto"/>
      </w:pPr>
      <w:r>
        <w:continuationSeparator/>
      </w:r>
    </w:p>
  </w:footnote>
  <w:footnote w:id="1">
    <w:p w:rsidR="003428ED" w:rsidRPr="0080345E" w:rsidRDefault="003428ED" w:rsidP="0080345E">
      <w:pPr>
        <w:pStyle w:val="Notedebasdepage"/>
        <w:jc w:val="both"/>
        <w:rPr>
          <w:rFonts w:ascii="Times New Roman" w:hAnsi="Times New Roman" w:cs="Times New Roman"/>
        </w:rPr>
      </w:pPr>
      <w:r w:rsidRPr="0080345E">
        <w:rPr>
          <w:rStyle w:val="Appelnotedebasdep"/>
          <w:rFonts w:ascii="Times New Roman" w:hAnsi="Times New Roman" w:cs="Times New Roman"/>
        </w:rPr>
        <w:footnoteRef/>
      </w:r>
      <w:r w:rsidRPr="0080345E">
        <w:rPr>
          <w:rFonts w:ascii="Times New Roman" w:hAnsi="Times New Roman" w:cs="Times New Roman"/>
        </w:rPr>
        <w:t xml:space="preserve"> Le 22 février 2006, le Gouvernement des Etats Unis d’Amérique, à travers le Millenium Challenge Corporation (MCC) et le Gouvernement du Bénin ont signé une convention de coopération (le Compact) pour apporter une solution aux contraintes économiques</w:t>
      </w:r>
      <w:r>
        <w:rPr>
          <w:rFonts w:ascii="Times New Roman" w:hAnsi="Times New Roman" w:cs="Times New Roman"/>
        </w:rPr>
        <w:t xml:space="preserve"> et offrir des incitations au secteur privé</w:t>
      </w:r>
      <w:r w:rsidRPr="0080345E">
        <w:rPr>
          <w:rFonts w:ascii="Times New Roman" w:hAnsi="Times New Roman" w:cs="Times New Roman"/>
        </w:rPr>
        <w:t>.</w:t>
      </w:r>
    </w:p>
  </w:footnote>
  <w:footnote w:id="2">
    <w:p w:rsidR="003428ED" w:rsidRPr="002A0E7D" w:rsidRDefault="003428ED" w:rsidP="009E2CA6">
      <w:pPr>
        <w:pStyle w:val="Notedebasdepage"/>
        <w:jc w:val="both"/>
        <w:rPr>
          <w:rFonts w:ascii="Times New Roman" w:hAnsi="Times New Roman" w:cs="Times New Roman"/>
          <w:szCs w:val="22"/>
        </w:rPr>
      </w:pPr>
      <w:r w:rsidRPr="002A0E7D">
        <w:rPr>
          <w:rStyle w:val="Appelnotedebasdep"/>
          <w:rFonts w:ascii="Times New Roman" w:hAnsi="Times New Roman" w:cs="Times New Roman"/>
          <w:szCs w:val="22"/>
        </w:rPr>
        <w:footnoteRef/>
      </w:r>
      <w:r w:rsidRPr="002A0E7D">
        <w:rPr>
          <w:rFonts w:ascii="Times New Roman" w:hAnsi="Times New Roman" w:cs="Times New Roman"/>
          <w:szCs w:val="22"/>
        </w:rPr>
        <w:t xml:space="preserve"> Organisation Mondiale des Douanes (2011), « Facilitation du commerce : Instruments, approches, tendances, initiatives et plus encore ».</w:t>
      </w:r>
    </w:p>
  </w:footnote>
  <w:footnote w:id="3">
    <w:p w:rsidR="003428ED" w:rsidRPr="002A0E7D" w:rsidRDefault="003428ED" w:rsidP="00312605">
      <w:pPr>
        <w:pStyle w:val="Notedebasdepage"/>
        <w:rPr>
          <w:rFonts w:ascii="Trebuchet MS" w:hAnsi="Trebuchet MS"/>
        </w:rPr>
      </w:pPr>
      <w:r w:rsidRPr="002A0E7D">
        <w:rPr>
          <w:rStyle w:val="Appelnotedebasdep"/>
          <w:rFonts w:ascii="Times New Roman" w:hAnsi="Times New Roman" w:cs="Times New Roman"/>
        </w:rPr>
        <w:footnoteRef/>
      </w:r>
      <w:r w:rsidRPr="002A0E7D">
        <w:rPr>
          <w:rFonts w:ascii="Times New Roman" w:hAnsi="Times New Roman" w:cs="Times New Roman"/>
        </w:rPr>
        <w:t xml:space="preserve"> Rapport sur l’économie béninoise 2006-2010, p.185</w:t>
      </w:r>
    </w:p>
  </w:footnote>
  <w:footnote w:id="4">
    <w:p w:rsidR="003428ED" w:rsidRPr="00781D2C" w:rsidRDefault="003428ED" w:rsidP="005B1943">
      <w:pPr>
        <w:pStyle w:val="Notedebasdepage"/>
        <w:jc w:val="both"/>
        <w:rPr>
          <w:rFonts w:ascii="Times New Roman" w:hAnsi="Times New Roman" w:cs="Times New Roman"/>
          <w:sz w:val="22"/>
        </w:rPr>
      </w:pPr>
      <w:r w:rsidRPr="007A1098">
        <w:rPr>
          <w:rStyle w:val="Appelnotedebasdep"/>
          <w:rFonts w:ascii="Trebuchet MS" w:hAnsi="Trebuchet MS"/>
          <w:sz w:val="22"/>
        </w:rPr>
        <w:footnoteRef/>
      </w:r>
      <w:r w:rsidRPr="007A1098">
        <w:rPr>
          <w:rFonts w:ascii="Trebuchet MS" w:hAnsi="Trebuchet MS"/>
          <w:sz w:val="22"/>
        </w:rPr>
        <w:t xml:space="preserve"> </w:t>
      </w:r>
      <w:r w:rsidRPr="00781D2C">
        <w:rPr>
          <w:rFonts w:ascii="Times New Roman" w:hAnsi="Times New Roman" w:cs="Times New Roman"/>
          <w:sz w:val="22"/>
        </w:rPr>
        <w:t xml:space="preserve">Les autres nouveaux sujets abordés à Singapour concernent (i) le commerce et la concurrence, (ii) l’investissement et la concurrence puis (iii) l’investissement et la transparence. Avec la facilitation des échanges, ils sont considérés comme les questions de Singapour. </w:t>
      </w:r>
    </w:p>
  </w:footnote>
  <w:footnote w:id="5">
    <w:p w:rsidR="003428ED" w:rsidRPr="005E6347" w:rsidRDefault="003428ED" w:rsidP="005E6347">
      <w:pPr>
        <w:pStyle w:val="Notedebasdepage"/>
        <w:jc w:val="both"/>
        <w:rPr>
          <w:rFonts w:ascii="Times New Roman" w:hAnsi="Times New Roman" w:cs="Times New Roman"/>
        </w:rPr>
      </w:pPr>
      <w:r w:rsidRPr="005E6347">
        <w:rPr>
          <w:rStyle w:val="Appelnotedebasdep"/>
          <w:rFonts w:ascii="Times New Roman" w:hAnsi="Times New Roman" w:cs="Times New Roman"/>
        </w:rPr>
        <w:footnoteRef/>
      </w:r>
      <w:r w:rsidRPr="005E6347">
        <w:rPr>
          <w:rFonts w:ascii="Times New Roman" w:hAnsi="Times New Roman" w:cs="Times New Roman"/>
        </w:rPr>
        <w:t xml:space="preserve"> La Conférence Ministérielle de l’OMC à Hong Kong en décembre 2005 appelle les donateurs à accroître les ressources de l’aide pour le commerce afin d’aider les pays, spécialement les moins développés, à renforcer les capacités d’offre et les infrastructures d’échanges ; elles devraient permettre de mettre en œuvre les accords de l’OMC mais aussi de tirer profit des avantages qu’ils offrent et conduire à l’expansion des échanges (WTO, 2005)</w:t>
      </w:r>
    </w:p>
  </w:footnote>
  <w:footnote w:id="6">
    <w:p w:rsidR="003428ED" w:rsidRPr="005E6347" w:rsidRDefault="003428ED" w:rsidP="00DF1EF1">
      <w:pPr>
        <w:pStyle w:val="Notedebasdepage"/>
        <w:jc w:val="both"/>
        <w:rPr>
          <w:rFonts w:ascii="Times New Roman" w:hAnsi="Times New Roman" w:cs="Times New Roman"/>
          <w:lang w:val="en-US"/>
        </w:rPr>
      </w:pPr>
      <w:r w:rsidRPr="005E6347">
        <w:rPr>
          <w:rStyle w:val="Appelnotedebasdep"/>
          <w:rFonts w:ascii="Times New Roman" w:hAnsi="Times New Roman" w:cs="Times New Roman"/>
        </w:rPr>
        <w:footnoteRef/>
      </w:r>
      <w:r w:rsidRPr="005E6347">
        <w:rPr>
          <w:rFonts w:ascii="Times New Roman" w:hAnsi="Times New Roman" w:cs="Times New Roman"/>
          <w:lang w:val="en-US"/>
        </w:rPr>
        <w:t xml:space="preserve"> World Bank (2005), Economic Growth in the 1990s: Learning from a Decade of Reform, Washington, D.C.: World Bank.</w:t>
      </w:r>
    </w:p>
  </w:footnote>
  <w:footnote w:id="7">
    <w:p w:rsidR="003428ED" w:rsidRPr="00037F11" w:rsidRDefault="003428ED">
      <w:pPr>
        <w:pStyle w:val="Notedebasdepage"/>
        <w:rPr>
          <w:rFonts w:ascii="Times New Roman" w:hAnsi="Times New Roman" w:cs="Times New Roman"/>
          <w:lang w:val="en-US"/>
        </w:rPr>
      </w:pPr>
      <w:r w:rsidRPr="00037F11">
        <w:rPr>
          <w:rStyle w:val="Appelnotedebasdep"/>
          <w:rFonts w:ascii="Times New Roman" w:hAnsi="Times New Roman" w:cs="Times New Roman"/>
        </w:rPr>
        <w:footnoteRef/>
      </w:r>
      <w:r w:rsidRPr="00037F11">
        <w:rPr>
          <w:rFonts w:ascii="Times New Roman" w:hAnsi="Times New Roman" w:cs="Times New Roman"/>
          <w:lang w:val="en-US"/>
        </w:rPr>
        <w:t xml:space="preserve"> </w:t>
      </w:r>
      <w:r w:rsidRPr="00037F11">
        <w:rPr>
          <w:rFonts w:ascii="Times New Roman" w:eastAsia="Calibri" w:hAnsi="Times New Roman" w:cs="Times New Roman"/>
          <w:lang w:val="en-US"/>
        </w:rPr>
        <w:t>OECD Creditor Reporting System (CRS) database</w:t>
      </w:r>
    </w:p>
  </w:footnote>
  <w:footnote w:id="8">
    <w:p w:rsidR="003428ED" w:rsidRPr="00287A7D" w:rsidRDefault="003428ED" w:rsidP="00D30974">
      <w:pPr>
        <w:spacing w:after="0"/>
        <w:jc w:val="both"/>
        <w:rPr>
          <w:rFonts w:ascii="Times New Roman" w:hAnsi="Times New Roman" w:cs="Times New Roman"/>
          <w:sz w:val="20"/>
          <w:szCs w:val="20"/>
        </w:rPr>
      </w:pPr>
      <w:r w:rsidRPr="00287A7D">
        <w:rPr>
          <w:rStyle w:val="Appelnotedebasdep"/>
          <w:sz w:val="20"/>
          <w:szCs w:val="20"/>
        </w:rPr>
        <w:footnoteRef/>
      </w:r>
      <w:r w:rsidRPr="00287A7D">
        <w:rPr>
          <w:sz w:val="20"/>
          <w:szCs w:val="20"/>
        </w:rPr>
        <w:t xml:space="preserve"> </w:t>
      </w:r>
      <w:r w:rsidRPr="00287A7D">
        <w:rPr>
          <w:rFonts w:ascii="Times New Roman" w:hAnsi="Times New Roman" w:cs="Times New Roman"/>
          <w:sz w:val="20"/>
          <w:szCs w:val="20"/>
        </w:rPr>
        <w:t>La performance enregistrée au niveau de ce mode d’exploitation des quais au profit des porte-conteneurs</w:t>
      </w:r>
      <w:r>
        <w:rPr>
          <w:rFonts w:ascii="Times New Roman" w:hAnsi="Times New Roman" w:cs="Times New Roman"/>
          <w:sz w:val="20"/>
          <w:szCs w:val="20"/>
        </w:rPr>
        <w:t xml:space="preserve"> a</w:t>
      </w:r>
      <w:r w:rsidRPr="00287A7D">
        <w:rPr>
          <w:rFonts w:ascii="Times New Roman" w:hAnsi="Times New Roman" w:cs="Times New Roman"/>
          <w:sz w:val="20"/>
          <w:szCs w:val="20"/>
        </w:rPr>
        <w:t xml:space="preserve"> amené le principal armateur desservant le port de Cotonou à supprimer les surcharges portuaires liées à l’attente des bateaux depuis mars 2010</w:t>
      </w:r>
      <w:r>
        <w:rPr>
          <w:rFonts w:ascii="Times New Roman" w:hAnsi="Times New Roman" w:cs="Times New Roman"/>
          <w:sz w:val="20"/>
          <w:szCs w:val="20"/>
        </w:rPr>
        <w:t xml:space="preserve"> (MCA Bénin, 2012)</w:t>
      </w:r>
      <w:r w:rsidRPr="00287A7D">
        <w:rPr>
          <w:rFonts w:ascii="Times New Roman" w:hAnsi="Times New Roman" w:cs="Times New Roman"/>
          <w:sz w:val="20"/>
          <w:szCs w:val="20"/>
        </w:rPr>
        <w:t>.</w:t>
      </w:r>
    </w:p>
  </w:footnote>
  <w:footnote w:id="9">
    <w:p w:rsidR="003428ED" w:rsidRPr="001D6BDF" w:rsidRDefault="003428ED" w:rsidP="00D30974">
      <w:pPr>
        <w:pStyle w:val="Notedebasdepage"/>
        <w:jc w:val="both"/>
        <w:rPr>
          <w:rFonts w:ascii="Times New Roman" w:hAnsi="Times New Roman" w:cs="Times New Roman"/>
        </w:rPr>
      </w:pPr>
      <w:r w:rsidRPr="001D6BDF">
        <w:rPr>
          <w:rStyle w:val="Appelnotedebasdep"/>
          <w:rFonts w:ascii="Times New Roman" w:hAnsi="Times New Roman" w:cs="Times New Roman"/>
        </w:rPr>
        <w:footnoteRef/>
      </w:r>
      <w:r w:rsidRPr="001D6BDF">
        <w:rPr>
          <w:rFonts w:ascii="Times New Roman" w:hAnsi="Times New Roman" w:cs="Times New Roman"/>
        </w:rPr>
        <w:t xml:space="preserve"> Au nombre des actions préconisées dans ce plan, figure le développement du logiciel SIGECPAC dont la mise en service à partir de mars 2011 a permis une nette diminution du temps de séjour des camions dans le port.</w:t>
      </w:r>
    </w:p>
  </w:footnote>
  <w:footnote w:id="10">
    <w:p w:rsidR="003428ED" w:rsidRPr="001D6BDF" w:rsidRDefault="003428ED" w:rsidP="001D6BDF">
      <w:pPr>
        <w:spacing w:line="240" w:lineRule="auto"/>
        <w:jc w:val="both"/>
        <w:rPr>
          <w:rFonts w:ascii="Times New Roman" w:hAnsi="Times New Roman" w:cs="Times New Roman"/>
          <w:sz w:val="20"/>
          <w:szCs w:val="20"/>
        </w:rPr>
      </w:pPr>
      <w:r w:rsidRPr="001D6BDF">
        <w:rPr>
          <w:rStyle w:val="Appelnotedebasdep"/>
          <w:rFonts w:ascii="Times New Roman" w:hAnsi="Times New Roman" w:cs="Times New Roman"/>
          <w:sz w:val="20"/>
          <w:szCs w:val="20"/>
        </w:rPr>
        <w:footnoteRef/>
      </w:r>
      <w:r w:rsidRPr="001D6BDF">
        <w:rPr>
          <w:rFonts w:ascii="Times New Roman" w:hAnsi="Times New Roman" w:cs="Times New Roman"/>
          <w:sz w:val="20"/>
          <w:szCs w:val="20"/>
        </w:rPr>
        <w:t xml:space="preserve"> Les actions de réformes prévues dans le manuel des procédures de dédouanement et d’enlèvement des marchandises au port de Cotonou en cours de finalisation devraient permettre d’améliorer davantage cette situation.</w:t>
      </w:r>
    </w:p>
  </w:footnote>
  <w:footnote w:id="11">
    <w:p w:rsidR="003428ED" w:rsidRPr="00506C64" w:rsidRDefault="003428ED">
      <w:pPr>
        <w:pStyle w:val="Notedebasdepage"/>
        <w:rPr>
          <w:rFonts w:ascii="Times New Roman" w:hAnsi="Times New Roman" w:cs="Times New Roman"/>
        </w:rPr>
      </w:pPr>
      <w:r w:rsidRPr="00506C64">
        <w:rPr>
          <w:rStyle w:val="Appelnotedebasdep"/>
          <w:rFonts w:ascii="Times New Roman" w:hAnsi="Times New Roman" w:cs="Times New Roman"/>
        </w:rPr>
        <w:footnoteRef/>
      </w:r>
      <w:r w:rsidRPr="00506C64">
        <w:rPr>
          <w:rFonts w:ascii="Times New Roman" w:hAnsi="Times New Roman" w:cs="Times New Roman"/>
        </w:rPr>
        <w:t xml:space="preserve"> Rejet de l’hypothèse nulle.</w:t>
      </w:r>
    </w:p>
  </w:footnote>
  <w:footnote w:id="12">
    <w:p w:rsidR="003428ED" w:rsidRPr="00BD6248" w:rsidRDefault="003428ED" w:rsidP="00BD6248">
      <w:pPr>
        <w:pStyle w:val="Notedebasdepage"/>
        <w:jc w:val="both"/>
        <w:rPr>
          <w:rFonts w:ascii="Times New Roman" w:hAnsi="Times New Roman" w:cs="Times New Roman"/>
        </w:rPr>
      </w:pPr>
      <w:r w:rsidRPr="00BD6248">
        <w:rPr>
          <w:rStyle w:val="Appelnotedebasdep"/>
          <w:rFonts w:ascii="Times New Roman" w:hAnsi="Times New Roman" w:cs="Times New Roman"/>
        </w:rPr>
        <w:footnoteRef/>
      </w:r>
      <w:r w:rsidRPr="00BD6248">
        <w:rPr>
          <w:rFonts w:ascii="Times New Roman" w:hAnsi="Times New Roman" w:cs="Times New Roman"/>
        </w:rPr>
        <w:t xml:space="preserve"> L’aide pour le commerce sans la subvention du MCA est obtenue par déduction de celle-ci de l’aide totale pour le commerce, compte tenu des montants décaissés sur chaque année du projet.</w:t>
      </w:r>
    </w:p>
  </w:footnote>
  <w:footnote w:id="13">
    <w:p w:rsidR="00BD6248" w:rsidRPr="00BD6248" w:rsidRDefault="00BD6248" w:rsidP="00BD6248">
      <w:pPr>
        <w:pStyle w:val="Notedebasdepage"/>
        <w:jc w:val="both"/>
        <w:rPr>
          <w:rFonts w:ascii="Times New Roman" w:hAnsi="Times New Roman" w:cs="Times New Roman"/>
        </w:rPr>
      </w:pPr>
      <w:r w:rsidRPr="00BD6248">
        <w:rPr>
          <w:rStyle w:val="Appelnotedebasdep"/>
          <w:rFonts w:ascii="Times New Roman" w:hAnsi="Times New Roman" w:cs="Times New Roman"/>
        </w:rPr>
        <w:footnoteRef/>
      </w:r>
      <w:r w:rsidRPr="00BD6248">
        <w:rPr>
          <w:rFonts w:ascii="Times New Roman" w:hAnsi="Times New Roman" w:cs="Times New Roman"/>
        </w:rPr>
        <w:t xml:space="preserve"> Le carré des variables </w:t>
      </w:r>
      <w:r>
        <w:rPr>
          <w:rFonts w:ascii="Times New Roman" w:hAnsi="Times New Roman" w:cs="Times New Roman"/>
        </w:rPr>
        <w:t xml:space="preserve">de flux d’aide </w:t>
      </w:r>
      <w:r w:rsidRPr="00BD6248">
        <w:rPr>
          <w:rFonts w:ascii="Times New Roman" w:hAnsi="Times New Roman" w:cs="Times New Roman"/>
        </w:rPr>
        <w:t>permet de prendre en compte l’effet de taille ou de rendement</w:t>
      </w:r>
      <w:r>
        <w:rPr>
          <w:rFonts w:ascii="Times New Roman" w:hAnsi="Times New Roman" w:cs="Times New Roman"/>
        </w:rPr>
        <w:t xml:space="preserve"> de l’aide sur les importations.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218A"/>
    <w:multiLevelType w:val="hybridMultilevel"/>
    <w:tmpl w:val="E5D83C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095AA3"/>
    <w:multiLevelType w:val="hybridMultilevel"/>
    <w:tmpl w:val="D780D0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086478"/>
    <w:multiLevelType w:val="hybridMultilevel"/>
    <w:tmpl w:val="43884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076BF2"/>
    <w:multiLevelType w:val="hybridMultilevel"/>
    <w:tmpl w:val="FB4C4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E371635"/>
    <w:multiLevelType w:val="hybridMultilevel"/>
    <w:tmpl w:val="F1CCB3B2"/>
    <w:lvl w:ilvl="0" w:tplc="7994A5BE">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8115EE1"/>
    <w:multiLevelType w:val="hybridMultilevel"/>
    <w:tmpl w:val="5FAEF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FFE5B2C"/>
    <w:multiLevelType w:val="hybridMultilevel"/>
    <w:tmpl w:val="895613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9A81020"/>
    <w:multiLevelType w:val="hybridMultilevel"/>
    <w:tmpl w:val="77C4FE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B47C4D"/>
    <w:multiLevelType w:val="hybridMultilevel"/>
    <w:tmpl w:val="DB0E2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8"/>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8B8"/>
    <w:rsid w:val="000249F7"/>
    <w:rsid w:val="00026222"/>
    <w:rsid w:val="00027924"/>
    <w:rsid w:val="00033397"/>
    <w:rsid w:val="00035F13"/>
    <w:rsid w:val="00037F11"/>
    <w:rsid w:val="00055C44"/>
    <w:rsid w:val="00062793"/>
    <w:rsid w:val="000666E5"/>
    <w:rsid w:val="00070ECB"/>
    <w:rsid w:val="00077FF3"/>
    <w:rsid w:val="0008159D"/>
    <w:rsid w:val="000856B5"/>
    <w:rsid w:val="00094327"/>
    <w:rsid w:val="000B1490"/>
    <w:rsid w:val="000B205B"/>
    <w:rsid w:val="000B585D"/>
    <w:rsid w:val="000C3677"/>
    <w:rsid w:val="000C71E6"/>
    <w:rsid w:val="000C7855"/>
    <w:rsid w:val="000D4872"/>
    <w:rsid w:val="000D7009"/>
    <w:rsid w:val="000E0F42"/>
    <w:rsid w:val="000E6506"/>
    <w:rsid w:val="001376AA"/>
    <w:rsid w:val="00137E9A"/>
    <w:rsid w:val="00144361"/>
    <w:rsid w:val="0017142E"/>
    <w:rsid w:val="0017677F"/>
    <w:rsid w:val="00183E71"/>
    <w:rsid w:val="00184CBA"/>
    <w:rsid w:val="00185119"/>
    <w:rsid w:val="001931CE"/>
    <w:rsid w:val="00194951"/>
    <w:rsid w:val="00195A2C"/>
    <w:rsid w:val="001A6A5B"/>
    <w:rsid w:val="001B4A98"/>
    <w:rsid w:val="001C526E"/>
    <w:rsid w:val="001C74F9"/>
    <w:rsid w:val="001D06A4"/>
    <w:rsid w:val="001D6BDF"/>
    <w:rsid w:val="001D6CC6"/>
    <w:rsid w:val="001E3D02"/>
    <w:rsid w:val="001E51E6"/>
    <w:rsid w:val="001E67C5"/>
    <w:rsid w:val="001F3B65"/>
    <w:rsid w:val="00200099"/>
    <w:rsid w:val="00203928"/>
    <w:rsid w:val="0020748D"/>
    <w:rsid w:val="00207A2C"/>
    <w:rsid w:val="00207E6A"/>
    <w:rsid w:val="00211258"/>
    <w:rsid w:val="00212A38"/>
    <w:rsid w:val="002155FB"/>
    <w:rsid w:val="002279BE"/>
    <w:rsid w:val="002311C2"/>
    <w:rsid w:val="00231F99"/>
    <w:rsid w:val="00246204"/>
    <w:rsid w:val="002637BC"/>
    <w:rsid w:val="00264559"/>
    <w:rsid w:val="00266B25"/>
    <w:rsid w:val="00280711"/>
    <w:rsid w:val="002836AF"/>
    <w:rsid w:val="00287A7D"/>
    <w:rsid w:val="00293DFA"/>
    <w:rsid w:val="0029534F"/>
    <w:rsid w:val="00295ADA"/>
    <w:rsid w:val="002A0E7D"/>
    <w:rsid w:val="002A1557"/>
    <w:rsid w:val="002A169A"/>
    <w:rsid w:val="002A531E"/>
    <w:rsid w:val="002B23C9"/>
    <w:rsid w:val="002B270C"/>
    <w:rsid w:val="002B3846"/>
    <w:rsid w:val="002B4822"/>
    <w:rsid w:val="002B5C6E"/>
    <w:rsid w:val="002C328B"/>
    <w:rsid w:val="002C3F12"/>
    <w:rsid w:val="002C478A"/>
    <w:rsid w:val="002C6A9C"/>
    <w:rsid w:val="002D5DA9"/>
    <w:rsid w:val="002E621E"/>
    <w:rsid w:val="00303B38"/>
    <w:rsid w:val="003053A0"/>
    <w:rsid w:val="00312605"/>
    <w:rsid w:val="00330BB6"/>
    <w:rsid w:val="00332F0B"/>
    <w:rsid w:val="003428ED"/>
    <w:rsid w:val="00342ED8"/>
    <w:rsid w:val="00345FF1"/>
    <w:rsid w:val="00353BA7"/>
    <w:rsid w:val="0036195B"/>
    <w:rsid w:val="0036207F"/>
    <w:rsid w:val="00363A8B"/>
    <w:rsid w:val="00366FC0"/>
    <w:rsid w:val="00372C1F"/>
    <w:rsid w:val="00374ADC"/>
    <w:rsid w:val="00377708"/>
    <w:rsid w:val="003815A7"/>
    <w:rsid w:val="00390C8B"/>
    <w:rsid w:val="00393B89"/>
    <w:rsid w:val="003B3A40"/>
    <w:rsid w:val="003B4DC2"/>
    <w:rsid w:val="003C27D2"/>
    <w:rsid w:val="003C748D"/>
    <w:rsid w:val="003C79CE"/>
    <w:rsid w:val="003E0D43"/>
    <w:rsid w:val="00411F49"/>
    <w:rsid w:val="00411FE9"/>
    <w:rsid w:val="004277A6"/>
    <w:rsid w:val="00430487"/>
    <w:rsid w:val="00431D58"/>
    <w:rsid w:val="00435D3C"/>
    <w:rsid w:val="004375EB"/>
    <w:rsid w:val="00450B36"/>
    <w:rsid w:val="00463CA1"/>
    <w:rsid w:val="004647AA"/>
    <w:rsid w:val="0046576B"/>
    <w:rsid w:val="00465A22"/>
    <w:rsid w:val="00476A89"/>
    <w:rsid w:val="00477F47"/>
    <w:rsid w:val="004806BF"/>
    <w:rsid w:val="00483BFE"/>
    <w:rsid w:val="004A2FD8"/>
    <w:rsid w:val="004B1AE1"/>
    <w:rsid w:val="004C388A"/>
    <w:rsid w:val="004C74F5"/>
    <w:rsid w:val="004E1B52"/>
    <w:rsid w:val="004E6318"/>
    <w:rsid w:val="004E6FE0"/>
    <w:rsid w:val="004F104D"/>
    <w:rsid w:val="004F1E14"/>
    <w:rsid w:val="004F2FF7"/>
    <w:rsid w:val="004F3470"/>
    <w:rsid w:val="004F7679"/>
    <w:rsid w:val="00504034"/>
    <w:rsid w:val="00504836"/>
    <w:rsid w:val="0050671B"/>
    <w:rsid w:val="00506C64"/>
    <w:rsid w:val="0050703A"/>
    <w:rsid w:val="00507F2C"/>
    <w:rsid w:val="0051254C"/>
    <w:rsid w:val="00512C2B"/>
    <w:rsid w:val="0051558A"/>
    <w:rsid w:val="00523010"/>
    <w:rsid w:val="00525281"/>
    <w:rsid w:val="005279E9"/>
    <w:rsid w:val="0053549C"/>
    <w:rsid w:val="00543792"/>
    <w:rsid w:val="00543D2E"/>
    <w:rsid w:val="005456F7"/>
    <w:rsid w:val="00572050"/>
    <w:rsid w:val="00575B11"/>
    <w:rsid w:val="005819C3"/>
    <w:rsid w:val="00592F8B"/>
    <w:rsid w:val="00593DB3"/>
    <w:rsid w:val="00597CC2"/>
    <w:rsid w:val="005A5985"/>
    <w:rsid w:val="005B16B5"/>
    <w:rsid w:val="005B1943"/>
    <w:rsid w:val="005B4443"/>
    <w:rsid w:val="005B4509"/>
    <w:rsid w:val="005C1359"/>
    <w:rsid w:val="005C4E72"/>
    <w:rsid w:val="005C6B3E"/>
    <w:rsid w:val="005D1DC8"/>
    <w:rsid w:val="005D3733"/>
    <w:rsid w:val="005D696E"/>
    <w:rsid w:val="005D76AB"/>
    <w:rsid w:val="005E01AE"/>
    <w:rsid w:val="005E0E77"/>
    <w:rsid w:val="005E6347"/>
    <w:rsid w:val="005F5B10"/>
    <w:rsid w:val="005F72F3"/>
    <w:rsid w:val="00600FDB"/>
    <w:rsid w:val="006101A1"/>
    <w:rsid w:val="00611E89"/>
    <w:rsid w:val="00612321"/>
    <w:rsid w:val="00613A51"/>
    <w:rsid w:val="00614010"/>
    <w:rsid w:val="00624AD2"/>
    <w:rsid w:val="00637E57"/>
    <w:rsid w:val="006416BD"/>
    <w:rsid w:val="006468EF"/>
    <w:rsid w:val="006510DF"/>
    <w:rsid w:val="006548C9"/>
    <w:rsid w:val="00662661"/>
    <w:rsid w:val="00667E0B"/>
    <w:rsid w:val="00672FBC"/>
    <w:rsid w:val="00676096"/>
    <w:rsid w:val="00676F90"/>
    <w:rsid w:val="00681FA9"/>
    <w:rsid w:val="00691414"/>
    <w:rsid w:val="0069331E"/>
    <w:rsid w:val="006A2016"/>
    <w:rsid w:val="006A2649"/>
    <w:rsid w:val="006A39A6"/>
    <w:rsid w:val="006B0C7D"/>
    <w:rsid w:val="006B17F2"/>
    <w:rsid w:val="006B7B55"/>
    <w:rsid w:val="006C4C36"/>
    <w:rsid w:val="006C562E"/>
    <w:rsid w:val="006D06F8"/>
    <w:rsid w:val="006F176B"/>
    <w:rsid w:val="006F2EC7"/>
    <w:rsid w:val="006F5E31"/>
    <w:rsid w:val="006F75D7"/>
    <w:rsid w:val="007006A8"/>
    <w:rsid w:val="00701350"/>
    <w:rsid w:val="007044DC"/>
    <w:rsid w:val="007047A8"/>
    <w:rsid w:val="00711B8A"/>
    <w:rsid w:val="00720377"/>
    <w:rsid w:val="007318B8"/>
    <w:rsid w:val="00732D28"/>
    <w:rsid w:val="00733CBB"/>
    <w:rsid w:val="0073567C"/>
    <w:rsid w:val="00737227"/>
    <w:rsid w:val="00771AF5"/>
    <w:rsid w:val="00781D2C"/>
    <w:rsid w:val="0079071D"/>
    <w:rsid w:val="007973DF"/>
    <w:rsid w:val="00797BC1"/>
    <w:rsid w:val="007A40EF"/>
    <w:rsid w:val="007A6A11"/>
    <w:rsid w:val="007B2203"/>
    <w:rsid w:val="007B6102"/>
    <w:rsid w:val="007D6265"/>
    <w:rsid w:val="007F098D"/>
    <w:rsid w:val="007F354D"/>
    <w:rsid w:val="00802D6A"/>
    <w:rsid w:val="0080345E"/>
    <w:rsid w:val="00806A7E"/>
    <w:rsid w:val="008153E6"/>
    <w:rsid w:val="00820367"/>
    <w:rsid w:val="00825DFE"/>
    <w:rsid w:val="0083107A"/>
    <w:rsid w:val="00846D88"/>
    <w:rsid w:val="00847C10"/>
    <w:rsid w:val="00850530"/>
    <w:rsid w:val="00852097"/>
    <w:rsid w:val="00860BE3"/>
    <w:rsid w:val="008628E0"/>
    <w:rsid w:val="00871896"/>
    <w:rsid w:val="008767E7"/>
    <w:rsid w:val="00880764"/>
    <w:rsid w:val="00883FAD"/>
    <w:rsid w:val="0089203F"/>
    <w:rsid w:val="0089255D"/>
    <w:rsid w:val="008A2564"/>
    <w:rsid w:val="008B017E"/>
    <w:rsid w:val="008B03A6"/>
    <w:rsid w:val="008B1780"/>
    <w:rsid w:val="008B6243"/>
    <w:rsid w:val="008B66D2"/>
    <w:rsid w:val="008D4082"/>
    <w:rsid w:val="009008FB"/>
    <w:rsid w:val="00907C99"/>
    <w:rsid w:val="00910FD5"/>
    <w:rsid w:val="009128A6"/>
    <w:rsid w:val="009249AD"/>
    <w:rsid w:val="00924E6E"/>
    <w:rsid w:val="009258F9"/>
    <w:rsid w:val="00931B81"/>
    <w:rsid w:val="00932E45"/>
    <w:rsid w:val="009372E2"/>
    <w:rsid w:val="00943911"/>
    <w:rsid w:val="0094663E"/>
    <w:rsid w:val="00967964"/>
    <w:rsid w:val="00971256"/>
    <w:rsid w:val="009748EF"/>
    <w:rsid w:val="0098541B"/>
    <w:rsid w:val="0098693C"/>
    <w:rsid w:val="00987B21"/>
    <w:rsid w:val="00996C13"/>
    <w:rsid w:val="009A145C"/>
    <w:rsid w:val="009A31D1"/>
    <w:rsid w:val="009D0877"/>
    <w:rsid w:val="009D2922"/>
    <w:rsid w:val="009E2CA6"/>
    <w:rsid w:val="009E4974"/>
    <w:rsid w:val="009E61B1"/>
    <w:rsid w:val="00A04225"/>
    <w:rsid w:val="00A050A0"/>
    <w:rsid w:val="00A05915"/>
    <w:rsid w:val="00A154D8"/>
    <w:rsid w:val="00A21E02"/>
    <w:rsid w:val="00A253E6"/>
    <w:rsid w:val="00A25DE4"/>
    <w:rsid w:val="00A26195"/>
    <w:rsid w:val="00A37918"/>
    <w:rsid w:val="00A4353D"/>
    <w:rsid w:val="00A439F0"/>
    <w:rsid w:val="00A45B8D"/>
    <w:rsid w:val="00A5687E"/>
    <w:rsid w:val="00A5724E"/>
    <w:rsid w:val="00A61F2D"/>
    <w:rsid w:val="00A719DA"/>
    <w:rsid w:val="00A73CE3"/>
    <w:rsid w:val="00A755A8"/>
    <w:rsid w:val="00A80252"/>
    <w:rsid w:val="00A84810"/>
    <w:rsid w:val="00A86408"/>
    <w:rsid w:val="00A92DEC"/>
    <w:rsid w:val="00A92E36"/>
    <w:rsid w:val="00AB354B"/>
    <w:rsid w:val="00AC11B4"/>
    <w:rsid w:val="00AC5080"/>
    <w:rsid w:val="00AD20BF"/>
    <w:rsid w:val="00AE74AA"/>
    <w:rsid w:val="00AF0406"/>
    <w:rsid w:val="00AF0F64"/>
    <w:rsid w:val="00AF7F8F"/>
    <w:rsid w:val="00B0524D"/>
    <w:rsid w:val="00B05677"/>
    <w:rsid w:val="00B12111"/>
    <w:rsid w:val="00B130B8"/>
    <w:rsid w:val="00B208D2"/>
    <w:rsid w:val="00B2438F"/>
    <w:rsid w:val="00B253AE"/>
    <w:rsid w:val="00B2694D"/>
    <w:rsid w:val="00B500FC"/>
    <w:rsid w:val="00B53E85"/>
    <w:rsid w:val="00B566CA"/>
    <w:rsid w:val="00B63931"/>
    <w:rsid w:val="00B70D27"/>
    <w:rsid w:val="00B717EA"/>
    <w:rsid w:val="00B730EE"/>
    <w:rsid w:val="00B775C0"/>
    <w:rsid w:val="00B81E18"/>
    <w:rsid w:val="00B916B4"/>
    <w:rsid w:val="00BB10E9"/>
    <w:rsid w:val="00BC3232"/>
    <w:rsid w:val="00BD08A4"/>
    <w:rsid w:val="00BD6248"/>
    <w:rsid w:val="00BE1327"/>
    <w:rsid w:val="00BE675F"/>
    <w:rsid w:val="00BE7011"/>
    <w:rsid w:val="00BF07E2"/>
    <w:rsid w:val="00BF6906"/>
    <w:rsid w:val="00C0057A"/>
    <w:rsid w:val="00C00C11"/>
    <w:rsid w:val="00C0280B"/>
    <w:rsid w:val="00C054CD"/>
    <w:rsid w:val="00C0699D"/>
    <w:rsid w:val="00C07DB6"/>
    <w:rsid w:val="00C14759"/>
    <w:rsid w:val="00C14C48"/>
    <w:rsid w:val="00C20228"/>
    <w:rsid w:val="00C36CD7"/>
    <w:rsid w:val="00C378FD"/>
    <w:rsid w:val="00C41F78"/>
    <w:rsid w:val="00C47866"/>
    <w:rsid w:val="00C83AFC"/>
    <w:rsid w:val="00C860E4"/>
    <w:rsid w:val="00CA3357"/>
    <w:rsid w:val="00CA7BB5"/>
    <w:rsid w:val="00CB089C"/>
    <w:rsid w:val="00CB6E1E"/>
    <w:rsid w:val="00CB79E3"/>
    <w:rsid w:val="00CC6C64"/>
    <w:rsid w:val="00CD262D"/>
    <w:rsid w:val="00CE3725"/>
    <w:rsid w:val="00CE44D8"/>
    <w:rsid w:val="00D00CCC"/>
    <w:rsid w:val="00D012FB"/>
    <w:rsid w:val="00D15292"/>
    <w:rsid w:val="00D16A64"/>
    <w:rsid w:val="00D16B51"/>
    <w:rsid w:val="00D20E47"/>
    <w:rsid w:val="00D27342"/>
    <w:rsid w:val="00D30974"/>
    <w:rsid w:val="00D336D7"/>
    <w:rsid w:val="00D42554"/>
    <w:rsid w:val="00D44728"/>
    <w:rsid w:val="00D57260"/>
    <w:rsid w:val="00D6059A"/>
    <w:rsid w:val="00D71C0D"/>
    <w:rsid w:val="00D76940"/>
    <w:rsid w:val="00D84573"/>
    <w:rsid w:val="00D9166A"/>
    <w:rsid w:val="00DA468C"/>
    <w:rsid w:val="00DB2094"/>
    <w:rsid w:val="00DB723F"/>
    <w:rsid w:val="00DC37C1"/>
    <w:rsid w:val="00DC3C5D"/>
    <w:rsid w:val="00DD7C12"/>
    <w:rsid w:val="00DE130C"/>
    <w:rsid w:val="00DE64BA"/>
    <w:rsid w:val="00DF0DEA"/>
    <w:rsid w:val="00DF1EF1"/>
    <w:rsid w:val="00DF4033"/>
    <w:rsid w:val="00E01E89"/>
    <w:rsid w:val="00E05611"/>
    <w:rsid w:val="00E06D25"/>
    <w:rsid w:val="00E10031"/>
    <w:rsid w:val="00E16052"/>
    <w:rsid w:val="00E22380"/>
    <w:rsid w:val="00E22B13"/>
    <w:rsid w:val="00E22CA3"/>
    <w:rsid w:val="00E235D2"/>
    <w:rsid w:val="00E3108B"/>
    <w:rsid w:val="00E354A4"/>
    <w:rsid w:val="00E51D38"/>
    <w:rsid w:val="00E53350"/>
    <w:rsid w:val="00E61D8B"/>
    <w:rsid w:val="00E902A4"/>
    <w:rsid w:val="00E91B35"/>
    <w:rsid w:val="00EA48A3"/>
    <w:rsid w:val="00EA7A0F"/>
    <w:rsid w:val="00EB1DEE"/>
    <w:rsid w:val="00ED273D"/>
    <w:rsid w:val="00EE5314"/>
    <w:rsid w:val="00EE6213"/>
    <w:rsid w:val="00EF2719"/>
    <w:rsid w:val="00F30FAE"/>
    <w:rsid w:val="00F3334B"/>
    <w:rsid w:val="00F36A88"/>
    <w:rsid w:val="00F42AD1"/>
    <w:rsid w:val="00F436FA"/>
    <w:rsid w:val="00F44468"/>
    <w:rsid w:val="00F45E3B"/>
    <w:rsid w:val="00F52843"/>
    <w:rsid w:val="00F53467"/>
    <w:rsid w:val="00F73E0A"/>
    <w:rsid w:val="00F744D0"/>
    <w:rsid w:val="00F8509E"/>
    <w:rsid w:val="00F86EEA"/>
    <w:rsid w:val="00F87D12"/>
    <w:rsid w:val="00FB53C9"/>
    <w:rsid w:val="00FB67F4"/>
    <w:rsid w:val="00FB6C48"/>
    <w:rsid w:val="00FC02E0"/>
    <w:rsid w:val="00FC650B"/>
    <w:rsid w:val="00FC6895"/>
    <w:rsid w:val="00FD1090"/>
    <w:rsid w:val="00FF527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18B8"/>
    <w:pPr>
      <w:ind w:left="720"/>
      <w:contextualSpacing/>
    </w:pPr>
  </w:style>
  <w:style w:type="paragraph" w:styleId="Notedebasdepage">
    <w:name w:val="footnote text"/>
    <w:basedOn w:val="Normal"/>
    <w:link w:val="NotedebasdepageCar"/>
    <w:uiPriority w:val="99"/>
    <w:semiHidden/>
    <w:unhideWhenUsed/>
    <w:rsid w:val="007318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18B8"/>
    <w:rPr>
      <w:sz w:val="20"/>
      <w:szCs w:val="20"/>
    </w:rPr>
  </w:style>
  <w:style w:type="character" w:styleId="Appelnotedebasdep">
    <w:name w:val="footnote reference"/>
    <w:basedOn w:val="Policepardfaut"/>
    <w:uiPriority w:val="99"/>
    <w:semiHidden/>
    <w:unhideWhenUsed/>
    <w:rsid w:val="007318B8"/>
    <w:rPr>
      <w:vertAlign w:val="superscript"/>
    </w:rPr>
  </w:style>
  <w:style w:type="paragraph" w:styleId="Pieddepage">
    <w:name w:val="footer"/>
    <w:basedOn w:val="Normal"/>
    <w:link w:val="PieddepageCar"/>
    <w:uiPriority w:val="99"/>
    <w:unhideWhenUsed/>
    <w:rsid w:val="007318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18B8"/>
  </w:style>
  <w:style w:type="character" w:styleId="Marquedecommentaire">
    <w:name w:val="annotation reference"/>
    <w:basedOn w:val="Policepardfaut"/>
    <w:uiPriority w:val="99"/>
    <w:semiHidden/>
    <w:unhideWhenUsed/>
    <w:rsid w:val="00A61F2D"/>
    <w:rPr>
      <w:sz w:val="16"/>
      <w:szCs w:val="16"/>
    </w:rPr>
  </w:style>
  <w:style w:type="paragraph" w:styleId="Commentaire">
    <w:name w:val="annotation text"/>
    <w:basedOn w:val="Normal"/>
    <w:link w:val="CommentaireCar"/>
    <w:uiPriority w:val="99"/>
    <w:semiHidden/>
    <w:unhideWhenUsed/>
    <w:rsid w:val="00A61F2D"/>
    <w:pPr>
      <w:spacing w:line="240" w:lineRule="auto"/>
    </w:pPr>
    <w:rPr>
      <w:sz w:val="20"/>
      <w:szCs w:val="20"/>
    </w:rPr>
  </w:style>
  <w:style w:type="character" w:customStyle="1" w:styleId="CommentaireCar">
    <w:name w:val="Commentaire Car"/>
    <w:basedOn w:val="Policepardfaut"/>
    <w:link w:val="Commentaire"/>
    <w:uiPriority w:val="99"/>
    <w:semiHidden/>
    <w:rsid w:val="00A61F2D"/>
    <w:rPr>
      <w:sz w:val="20"/>
      <w:szCs w:val="20"/>
    </w:rPr>
  </w:style>
  <w:style w:type="paragraph" w:styleId="Objetducommentaire">
    <w:name w:val="annotation subject"/>
    <w:basedOn w:val="Commentaire"/>
    <w:next w:val="Commentaire"/>
    <w:link w:val="ObjetducommentaireCar"/>
    <w:uiPriority w:val="99"/>
    <w:semiHidden/>
    <w:unhideWhenUsed/>
    <w:rsid w:val="00A61F2D"/>
    <w:rPr>
      <w:b/>
      <w:bCs/>
    </w:rPr>
  </w:style>
  <w:style w:type="character" w:customStyle="1" w:styleId="ObjetducommentaireCar">
    <w:name w:val="Objet du commentaire Car"/>
    <w:basedOn w:val="CommentaireCar"/>
    <w:link w:val="Objetducommentaire"/>
    <w:uiPriority w:val="99"/>
    <w:semiHidden/>
    <w:rsid w:val="00A61F2D"/>
    <w:rPr>
      <w:b/>
      <w:bCs/>
      <w:sz w:val="20"/>
      <w:szCs w:val="20"/>
    </w:rPr>
  </w:style>
  <w:style w:type="paragraph" w:styleId="Textedebulles">
    <w:name w:val="Balloon Text"/>
    <w:basedOn w:val="Normal"/>
    <w:link w:val="TextedebullesCar"/>
    <w:uiPriority w:val="99"/>
    <w:semiHidden/>
    <w:unhideWhenUsed/>
    <w:rsid w:val="00A61F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1F2D"/>
    <w:rPr>
      <w:rFonts w:ascii="Tahoma" w:hAnsi="Tahoma" w:cs="Tahoma"/>
      <w:sz w:val="16"/>
      <w:szCs w:val="16"/>
    </w:rPr>
  </w:style>
  <w:style w:type="paragraph" w:customStyle="1" w:styleId="Pa11">
    <w:name w:val="Pa11"/>
    <w:basedOn w:val="Normal"/>
    <w:next w:val="Normal"/>
    <w:uiPriority w:val="99"/>
    <w:rsid w:val="005B1943"/>
    <w:pPr>
      <w:autoSpaceDE w:val="0"/>
      <w:autoSpaceDN w:val="0"/>
      <w:adjustRightInd w:val="0"/>
      <w:spacing w:after="0" w:line="221" w:lineRule="atLeast"/>
    </w:pPr>
    <w:rPr>
      <w:rFonts w:ascii="Adobe Garamond Pro" w:eastAsiaTheme="minorHAnsi" w:hAnsi="Adobe Garamond Pro"/>
      <w:sz w:val="24"/>
      <w:szCs w:val="24"/>
      <w:lang w:eastAsia="en-US"/>
    </w:rPr>
  </w:style>
  <w:style w:type="paragraph" w:customStyle="1" w:styleId="Pa4">
    <w:name w:val="Pa4"/>
    <w:basedOn w:val="Normal"/>
    <w:next w:val="Normal"/>
    <w:uiPriority w:val="99"/>
    <w:rsid w:val="005B1943"/>
    <w:pPr>
      <w:autoSpaceDE w:val="0"/>
      <w:autoSpaceDN w:val="0"/>
      <w:adjustRightInd w:val="0"/>
      <w:spacing w:after="0" w:line="176" w:lineRule="atLeast"/>
    </w:pPr>
    <w:rPr>
      <w:rFonts w:ascii="DIMNTX+Caecilia-Roman" w:eastAsiaTheme="minorHAnsi" w:hAnsi="DIMNTX+Caecilia-Roman"/>
      <w:sz w:val="24"/>
      <w:szCs w:val="24"/>
      <w:lang w:eastAsia="en-US"/>
    </w:rPr>
  </w:style>
  <w:style w:type="character" w:styleId="Lienhypertexte">
    <w:name w:val="Hyperlink"/>
    <w:basedOn w:val="Policepardfaut"/>
    <w:uiPriority w:val="99"/>
    <w:unhideWhenUsed/>
    <w:rsid w:val="0069331E"/>
    <w:rPr>
      <w:color w:val="0000FF" w:themeColor="hyperlink"/>
      <w:u w:val="single"/>
    </w:rPr>
  </w:style>
  <w:style w:type="table" w:styleId="Grilledutableau">
    <w:name w:val="Table Grid"/>
    <w:basedOn w:val="TableauNormal"/>
    <w:uiPriority w:val="59"/>
    <w:rsid w:val="005F5B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CB79E3"/>
    <w:rPr>
      <w:color w:val="808080"/>
    </w:rPr>
  </w:style>
  <w:style w:type="paragraph" w:styleId="En-tte">
    <w:name w:val="header"/>
    <w:basedOn w:val="Normal"/>
    <w:link w:val="En-tteCar"/>
    <w:uiPriority w:val="99"/>
    <w:semiHidden/>
    <w:unhideWhenUsed/>
    <w:rsid w:val="005819C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81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18B8"/>
    <w:pPr>
      <w:ind w:left="720"/>
      <w:contextualSpacing/>
    </w:pPr>
  </w:style>
  <w:style w:type="paragraph" w:styleId="Notedebasdepage">
    <w:name w:val="footnote text"/>
    <w:basedOn w:val="Normal"/>
    <w:link w:val="NotedebasdepageCar"/>
    <w:uiPriority w:val="99"/>
    <w:semiHidden/>
    <w:unhideWhenUsed/>
    <w:rsid w:val="007318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18B8"/>
    <w:rPr>
      <w:sz w:val="20"/>
      <w:szCs w:val="20"/>
    </w:rPr>
  </w:style>
  <w:style w:type="character" w:styleId="Appelnotedebasdep">
    <w:name w:val="footnote reference"/>
    <w:basedOn w:val="Policepardfaut"/>
    <w:uiPriority w:val="99"/>
    <w:semiHidden/>
    <w:unhideWhenUsed/>
    <w:rsid w:val="007318B8"/>
    <w:rPr>
      <w:vertAlign w:val="superscript"/>
    </w:rPr>
  </w:style>
  <w:style w:type="paragraph" w:styleId="Pieddepage">
    <w:name w:val="footer"/>
    <w:basedOn w:val="Normal"/>
    <w:link w:val="PieddepageCar"/>
    <w:uiPriority w:val="99"/>
    <w:unhideWhenUsed/>
    <w:rsid w:val="007318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18B8"/>
  </w:style>
  <w:style w:type="character" w:styleId="Marquedecommentaire">
    <w:name w:val="annotation reference"/>
    <w:basedOn w:val="Policepardfaut"/>
    <w:uiPriority w:val="99"/>
    <w:semiHidden/>
    <w:unhideWhenUsed/>
    <w:rsid w:val="00A61F2D"/>
    <w:rPr>
      <w:sz w:val="16"/>
      <w:szCs w:val="16"/>
    </w:rPr>
  </w:style>
  <w:style w:type="paragraph" w:styleId="Commentaire">
    <w:name w:val="annotation text"/>
    <w:basedOn w:val="Normal"/>
    <w:link w:val="CommentaireCar"/>
    <w:uiPriority w:val="99"/>
    <w:semiHidden/>
    <w:unhideWhenUsed/>
    <w:rsid w:val="00A61F2D"/>
    <w:pPr>
      <w:spacing w:line="240" w:lineRule="auto"/>
    </w:pPr>
    <w:rPr>
      <w:sz w:val="20"/>
      <w:szCs w:val="20"/>
    </w:rPr>
  </w:style>
  <w:style w:type="character" w:customStyle="1" w:styleId="CommentaireCar">
    <w:name w:val="Commentaire Car"/>
    <w:basedOn w:val="Policepardfaut"/>
    <w:link w:val="Commentaire"/>
    <w:uiPriority w:val="99"/>
    <w:semiHidden/>
    <w:rsid w:val="00A61F2D"/>
    <w:rPr>
      <w:sz w:val="20"/>
      <w:szCs w:val="20"/>
    </w:rPr>
  </w:style>
  <w:style w:type="paragraph" w:styleId="Objetducommentaire">
    <w:name w:val="annotation subject"/>
    <w:basedOn w:val="Commentaire"/>
    <w:next w:val="Commentaire"/>
    <w:link w:val="ObjetducommentaireCar"/>
    <w:uiPriority w:val="99"/>
    <w:semiHidden/>
    <w:unhideWhenUsed/>
    <w:rsid w:val="00A61F2D"/>
    <w:rPr>
      <w:b/>
      <w:bCs/>
    </w:rPr>
  </w:style>
  <w:style w:type="character" w:customStyle="1" w:styleId="ObjetducommentaireCar">
    <w:name w:val="Objet du commentaire Car"/>
    <w:basedOn w:val="CommentaireCar"/>
    <w:link w:val="Objetducommentaire"/>
    <w:uiPriority w:val="99"/>
    <w:semiHidden/>
    <w:rsid w:val="00A61F2D"/>
    <w:rPr>
      <w:b/>
      <w:bCs/>
      <w:sz w:val="20"/>
      <w:szCs w:val="20"/>
    </w:rPr>
  </w:style>
  <w:style w:type="paragraph" w:styleId="Textedebulles">
    <w:name w:val="Balloon Text"/>
    <w:basedOn w:val="Normal"/>
    <w:link w:val="TextedebullesCar"/>
    <w:uiPriority w:val="99"/>
    <w:semiHidden/>
    <w:unhideWhenUsed/>
    <w:rsid w:val="00A61F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1F2D"/>
    <w:rPr>
      <w:rFonts w:ascii="Tahoma" w:hAnsi="Tahoma" w:cs="Tahoma"/>
      <w:sz w:val="16"/>
      <w:szCs w:val="16"/>
    </w:rPr>
  </w:style>
  <w:style w:type="paragraph" w:customStyle="1" w:styleId="Pa11">
    <w:name w:val="Pa11"/>
    <w:basedOn w:val="Normal"/>
    <w:next w:val="Normal"/>
    <w:uiPriority w:val="99"/>
    <w:rsid w:val="005B1943"/>
    <w:pPr>
      <w:autoSpaceDE w:val="0"/>
      <w:autoSpaceDN w:val="0"/>
      <w:adjustRightInd w:val="0"/>
      <w:spacing w:after="0" w:line="221" w:lineRule="atLeast"/>
    </w:pPr>
    <w:rPr>
      <w:rFonts w:ascii="Adobe Garamond Pro" w:eastAsiaTheme="minorHAnsi" w:hAnsi="Adobe Garamond Pro"/>
      <w:sz w:val="24"/>
      <w:szCs w:val="24"/>
      <w:lang w:eastAsia="en-US"/>
    </w:rPr>
  </w:style>
  <w:style w:type="paragraph" w:customStyle="1" w:styleId="Pa4">
    <w:name w:val="Pa4"/>
    <w:basedOn w:val="Normal"/>
    <w:next w:val="Normal"/>
    <w:uiPriority w:val="99"/>
    <w:rsid w:val="005B1943"/>
    <w:pPr>
      <w:autoSpaceDE w:val="0"/>
      <w:autoSpaceDN w:val="0"/>
      <w:adjustRightInd w:val="0"/>
      <w:spacing w:after="0" w:line="176" w:lineRule="atLeast"/>
    </w:pPr>
    <w:rPr>
      <w:rFonts w:ascii="DIMNTX+Caecilia-Roman" w:eastAsiaTheme="minorHAnsi" w:hAnsi="DIMNTX+Caecilia-Roman"/>
      <w:sz w:val="24"/>
      <w:szCs w:val="24"/>
      <w:lang w:eastAsia="en-US"/>
    </w:rPr>
  </w:style>
  <w:style w:type="character" w:styleId="Lienhypertexte">
    <w:name w:val="Hyperlink"/>
    <w:basedOn w:val="Policepardfaut"/>
    <w:uiPriority w:val="99"/>
    <w:unhideWhenUsed/>
    <w:rsid w:val="0069331E"/>
    <w:rPr>
      <w:color w:val="0000FF" w:themeColor="hyperlink"/>
      <w:u w:val="single"/>
    </w:rPr>
  </w:style>
  <w:style w:type="table" w:styleId="Grilledutableau">
    <w:name w:val="Table Grid"/>
    <w:basedOn w:val="TableauNormal"/>
    <w:uiPriority w:val="59"/>
    <w:rsid w:val="005F5B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CB79E3"/>
    <w:rPr>
      <w:color w:val="808080"/>
    </w:rPr>
  </w:style>
  <w:style w:type="paragraph" w:styleId="En-tte">
    <w:name w:val="header"/>
    <w:basedOn w:val="Normal"/>
    <w:link w:val="En-tteCar"/>
    <w:uiPriority w:val="99"/>
    <w:semiHidden/>
    <w:unhideWhenUsed/>
    <w:rsid w:val="005819C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81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543">
      <w:bodyDiv w:val="1"/>
      <w:marLeft w:val="0"/>
      <w:marRight w:val="0"/>
      <w:marTop w:val="0"/>
      <w:marBottom w:val="0"/>
      <w:divBdr>
        <w:top w:val="none" w:sz="0" w:space="0" w:color="auto"/>
        <w:left w:val="none" w:sz="0" w:space="0" w:color="auto"/>
        <w:bottom w:val="none" w:sz="0" w:space="0" w:color="auto"/>
        <w:right w:val="none" w:sz="0" w:space="0" w:color="auto"/>
      </w:divBdr>
    </w:div>
    <w:div w:id="139538304">
      <w:bodyDiv w:val="1"/>
      <w:marLeft w:val="0"/>
      <w:marRight w:val="0"/>
      <w:marTop w:val="0"/>
      <w:marBottom w:val="0"/>
      <w:divBdr>
        <w:top w:val="none" w:sz="0" w:space="0" w:color="auto"/>
        <w:left w:val="none" w:sz="0" w:space="0" w:color="auto"/>
        <w:bottom w:val="none" w:sz="0" w:space="0" w:color="auto"/>
        <w:right w:val="none" w:sz="0" w:space="0" w:color="auto"/>
      </w:divBdr>
    </w:div>
    <w:div w:id="201332291">
      <w:bodyDiv w:val="1"/>
      <w:marLeft w:val="0"/>
      <w:marRight w:val="0"/>
      <w:marTop w:val="0"/>
      <w:marBottom w:val="0"/>
      <w:divBdr>
        <w:top w:val="none" w:sz="0" w:space="0" w:color="auto"/>
        <w:left w:val="none" w:sz="0" w:space="0" w:color="auto"/>
        <w:bottom w:val="none" w:sz="0" w:space="0" w:color="auto"/>
        <w:right w:val="none" w:sz="0" w:space="0" w:color="auto"/>
      </w:divBdr>
    </w:div>
    <w:div w:id="538932771">
      <w:bodyDiv w:val="1"/>
      <w:marLeft w:val="0"/>
      <w:marRight w:val="0"/>
      <w:marTop w:val="0"/>
      <w:marBottom w:val="0"/>
      <w:divBdr>
        <w:top w:val="none" w:sz="0" w:space="0" w:color="auto"/>
        <w:left w:val="none" w:sz="0" w:space="0" w:color="auto"/>
        <w:bottom w:val="none" w:sz="0" w:space="0" w:color="auto"/>
        <w:right w:val="none" w:sz="0" w:space="0" w:color="auto"/>
      </w:divBdr>
    </w:div>
    <w:div w:id="701904102">
      <w:bodyDiv w:val="1"/>
      <w:marLeft w:val="0"/>
      <w:marRight w:val="0"/>
      <w:marTop w:val="0"/>
      <w:marBottom w:val="0"/>
      <w:divBdr>
        <w:top w:val="none" w:sz="0" w:space="0" w:color="auto"/>
        <w:left w:val="none" w:sz="0" w:space="0" w:color="auto"/>
        <w:bottom w:val="none" w:sz="0" w:space="0" w:color="auto"/>
        <w:right w:val="none" w:sz="0" w:space="0" w:color="auto"/>
      </w:divBdr>
    </w:div>
    <w:div w:id="13612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irs.ub.rug.nl/ppn/24114045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nbn-resolving.de/urn:nbn:se:uu:diva-101264"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ain\Desktop\Chaire%20OMC\Etude%20OMC-revue%202015\Copie%20de%20tbableau%20des%20variab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ain\Desktop\Chaire%20OMC\Etude%20OMC-revue%202015\Copie%20de%20tbableau%20des%20variab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lain\Desktop\Chaire%20OMC\Etude%20OMC-revue%202015\Copie%20de%20tbableau%20des%20variab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lain\Desktop\Chaire%20OMC\Etude%20OMC-revue%202015\Copie%20de%20COPIE%20GDP%20ODA%20P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lain\Desktop\Chaire%20OMC\Etude%20OMC-revue%202015\Copie%20de%20tbableau%20des%20variab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lain\Desktop\Chaire%20OMC\Etude%20OMC-revue%202015\Copie%20de%20COPIE%20GDP%20ODA%20P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lain\Desktop\Chaire%20OMC\Etude%20OMC-revue%202015\Copie%20de%20COPIE%20GDP%20ODA%20P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900">
                <a:latin typeface="Times New Roman" pitchFamily="18" charset="0"/>
                <a:cs typeface="Times New Roman" pitchFamily="18" charset="0"/>
              </a:defRPr>
            </a:pPr>
            <a:r>
              <a:rPr lang="fr-FR" sz="900">
                <a:latin typeface="Times New Roman" pitchFamily="18" charset="0"/>
                <a:cs typeface="Times New Roman" pitchFamily="18" charset="0"/>
              </a:rPr>
              <a:t>Figure</a:t>
            </a:r>
            <a:r>
              <a:rPr lang="fr-FR" sz="900" baseline="0">
                <a:latin typeface="Times New Roman" pitchFamily="18" charset="0"/>
                <a:cs typeface="Times New Roman" pitchFamily="18" charset="0"/>
              </a:rPr>
              <a:t> 1.a: Evolution des flux d'aide pour le commerce (I)</a:t>
            </a:r>
            <a:endParaRPr lang="fr-FR" sz="90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Feuil2!$A$3</c:f>
              <c:strCache>
                <c:ptCount val="1"/>
                <c:pt idx="0">
                  <c:v>200: II. Economic Infrastructure &amp; Services, Total</c:v>
                </c:pt>
              </c:strCache>
            </c:strRef>
          </c:tx>
          <c:spPr>
            <a:ln w="44450">
              <a:solidFill>
                <a:srgbClr val="FF0000"/>
              </a:solidFill>
            </a:ln>
          </c:spPr>
          <c:marker>
            <c:symbol val="none"/>
          </c:marker>
          <c:cat>
            <c:strRef>
              <c:f>Feuil2!$B$2:$M$2</c:f>
              <c:strCache>
                <c:ptCount val="12"/>
                <c:pt idx="0">
                  <c:v>2002</c:v>
                </c:pt>
                <c:pt idx="1">
                  <c:v>2003</c:v>
                </c:pt>
                <c:pt idx="2">
                  <c:v>2004</c:v>
                </c:pt>
                <c:pt idx="3">
                  <c:v>2005</c:v>
                </c:pt>
                <c:pt idx="4">
                  <c:v>2006</c:v>
                </c:pt>
                <c:pt idx="5">
                  <c:v>2007</c:v>
                </c:pt>
                <c:pt idx="6">
                  <c:v>2008</c:v>
                </c:pt>
                <c:pt idx="7">
                  <c:v>2009</c:v>
                </c:pt>
                <c:pt idx="8">
                  <c:v>2010</c:v>
                </c:pt>
                <c:pt idx="9">
                  <c:v>2011</c:v>
                </c:pt>
                <c:pt idx="10">
                  <c:v>2012</c:v>
                </c:pt>
                <c:pt idx="11">
                  <c:v>2013</c:v>
                </c:pt>
              </c:strCache>
            </c:strRef>
          </c:cat>
          <c:val>
            <c:numRef>
              <c:f>Feuil2!$B$3:$M$3</c:f>
              <c:numCache>
                <c:formatCode>General</c:formatCode>
                <c:ptCount val="12"/>
                <c:pt idx="0">
                  <c:v>22.44258999999991</c:v>
                </c:pt>
                <c:pt idx="1">
                  <c:v>26.999521999999953</c:v>
                </c:pt>
                <c:pt idx="2">
                  <c:v>18.639538999999999</c:v>
                </c:pt>
                <c:pt idx="3">
                  <c:v>17.497183</c:v>
                </c:pt>
                <c:pt idx="4">
                  <c:v>12.891577</c:v>
                </c:pt>
                <c:pt idx="5">
                  <c:v>27.054449999999989</c:v>
                </c:pt>
                <c:pt idx="6">
                  <c:v>33.381727999999995</c:v>
                </c:pt>
                <c:pt idx="7">
                  <c:v>62.878431000000006</c:v>
                </c:pt>
                <c:pt idx="8">
                  <c:v>72.972211999999999</c:v>
                </c:pt>
                <c:pt idx="9">
                  <c:v>144.03912099999999</c:v>
                </c:pt>
                <c:pt idx="10">
                  <c:v>20.882261999999987</c:v>
                </c:pt>
                <c:pt idx="11">
                  <c:v>13.663998000000001</c:v>
                </c:pt>
              </c:numCache>
            </c:numRef>
          </c:val>
          <c:smooth val="0"/>
        </c:ser>
        <c:dLbls>
          <c:showLegendKey val="0"/>
          <c:showVal val="0"/>
          <c:showCatName val="0"/>
          <c:showSerName val="0"/>
          <c:showPercent val="0"/>
          <c:showBubbleSize val="0"/>
        </c:dLbls>
        <c:marker val="1"/>
        <c:smooth val="0"/>
        <c:axId val="157963776"/>
        <c:axId val="184517760"/>
      </c:lineChart>
      <c:catAx>
        <c:axId val="157963776"/>
        <c:scaling>
          <c:orientation val="minMax"/>
        </c:scaling>
        <c:delete val="0"/>
        <c:axPos val="b"/>
        <c:majorTickMark val="none"/>
        <c:minorTickMark val="none"/>
        <c:tickLblPos val="nextTo"/>
        <c:txPr>
          <a:bodyPr/>
          <a:lstStyle/>
          <a:p>
            <a:pPr>
              <a:defRPr b="1" i="0">
                <a:latin typeface="Times New Roman" pitchFamily="18" charset="0"/>
                <a:cs typeface="Times New Roman" pitchFamily="18" charset="0"/>
              </a:defRPr>
            </a:pPr>
            <a:endParaRPr lang="fr-FR"/>
          </a:p>
        </c:txPr>
        <c:crossAx val="184517760"/>
        <c:crosses val="autoZero"/>
        <c:auto val="1"/>
        <c:lblAlgn val="ctr"/>
        <c:lblOffset val="100"/>
        <c:noMultiLvlLbl val="0"/>
      </c:catAx>
      <c:valAx>
        <c:axId val="184517760"/>
        <c:scaling>
          <c:orientation val="minMax"/>
        </c:scaling>
        <c:delete val="0"/>
        <c:axPos val="l"/>
        <c:title>
          <c:tx>
            <c:rich>
              <a:bodyPr/>
              <a:lstStyle/>
              <a:p>
                <a:pPr>
                  <a:defRPr>
                    <a:latin typeface="Times New Roman" pitchFamily="18" charset="0"/>
                    <a:cs typeface="Times New Roman" pitchFamily="18" charset="0"/>
                  </a:defRPr>
                </a:pPr>
                <a:r>
                  <a:rPr lang="fr-FR">
                    <a:latin typeface="Times New Roman" pitchFamily="18" charset="0"/>
                    <a:cs typeface="Times New Roman" pitchFamily="18" charset="0"/>
                  </a:rPr>
                  <a:t>Montant (million dollars US, 2013)</a:t>
                </a:r>
              </a:p>
            </c:rich>
          </c:tx>
          <c:overlay val="0"/>
        </c:title>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fr-FR"/>
          </a:p>
        </c:txPr>
        <c:crossAx val="1579637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  Figure 1.b:</a:t>
            </a:r>
            <a:r>
              <a:rPr lang="en-US" sz="900" baseline="0">
                <a:latin typeface="Times New Roman" pitchFamily="18" charset="0"/>
                <a:cs typeface="Times New Roman" pitchFamily="18" charset="0"/>
              </a:rPr>
              <a:t> Evolution  des flux d'aide pour le commerce (II)</a:t>
            </a:r>
            <a:endParaRPr lang="en-US" sz="90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Feuil2!$A$4</c:f>
              <c:strCache>
                <c:ptCount val="1"/>
                <c:pt idx="0">
                  <c:v>  331: III.3.a. Trade Policies &amp; Regulations, Total</c:v>
                </c:pt>
              </c:strCache>
            </c:strRef>
          </c:tx>
          <c:spPr>
            <a:ln w="44450">
              <a:solidFill>
                <a:srgbClr val="0070C0"/>
              </a:solidFill>
            </a:ln>
          </c:spPr>
          <c:marker>
            <c:symbol val="none"/>
          </c:marker>
          <c:cat>
            <c:strRef>
              <c:f>Feuil2!$B$2:$M$2</c:f>
              <c:strCache>
                <c:ptCount val="12"/>
                <c:pt idx="0">
                  <c:v>2002</c:v>
                </c:pt>
                <c:pt idx="1">
                  <c:v>2003</c:v>
                </c:pt>
                <c:pt idx="2">
                  <c:v>2004</c:v>
                </c:pt>
                <c:pt idx="3">
                  <c:v>2005</c:v>
                </c:pt>
                <c:pt idx="4">
                  <c:v>2006</c:v>
                </c:pt>
                <c:pt idx="5">
                  <c:v>2007</c:v>
                </c:pt>
                <c:pt idx="6">
                  <c:v>2008</c:v>
                </c:pt>
                <c:pt idx="7">
                  <c:v>2009</c:v>
                </c:pt>
                <c:pt idx="8">
                  <c:v>2010</c:v>
                </c:pt>
                <c:pt idx="9">
                  <c:v>2011</c:v>
                </c:pt>
                <c:pt idx="10">
                  <c:v>2012</c:v>
                </c:pt>
                <c:pt idx="11">
                  <c:v>2013</c:v>
                </c:pt>
              </c:strCache>
            </c:strRef>
          </c:cat>
          <c:val>
            <c:numRef>
              <c:f>Feuil2!$B$4:$M$4</c:f>
              <c:numCache>
                <c:formatCode>General</c:formatCode>
                <c:ptCount val="12"/>
                <c:pt idx="0">
                  <c:v>0.22112799999999988</c:v>
                </c:pt>
                <c:pt idx="1">
                  <c:v>0</c:v>
                </c:pt>
                <c:pt idx="2">
                  <c:v>0</c:v>
                </c:pt>
                <c:pt idx="3">
                  <c:v>2.7255000000000067E-2</c:v>
                </c:pt>
                <c:pt idx="4">
                  <c:v>0.40343100000000004</c:v>
                </c:pt>
                <c:pt idx="5">
                  <c:v>4.5322000000000119E-2</c:v>
                </c:pt>
                <c:pt idx="6">
                  <c:v>0.16547799999999999</c:v>
                </c:pt>
                <c:pt idx="7">
                  <c:v>0.34669900000000003</c:v>
                </c:pt>
                <c:pt idx="8">
                  <c:v>0.42609400000000008</c:v>
                </c:pt>
                <c:pt idx="9">
                  <c:v>0.10563699999999999</c:v>
                </c:pt>
                <c:pt idx="10">
                  <c:v>1.3997000000000001E-2</c:v>
                </c:pt>
                <c:pt idx="11">
                  <c:v>5.0742000000000023E-2</c:v>
                </c:pt>
              </c:numCache>
            </c:numRef>
          </c:val>
          <c:smooth val="0"/>
        </c:ser>
        <c:dLbls>
          <c:showLegendKey val="0"/>
          <c:showVal val="0"/>
          <c:showCatName val="0"/>
          <c:showSerName val="0"/>
          <c:showPercent val="0"/>
          <c:showBubbleSize val="0"/>
        </c:dLbls>
        <c:marker val="1"/>
        <c:smooth val="0"/>
        <c:axId val="93295744"/>
        <c:axId val="93297280"/>
      </c:lineChart>
      <c:catAx>
        <c:axId val="93295744"/>
        <c:scaling>
          <c:orientation val="minMax"/>
        </c:scaling>
        <c:delete val="0"/>
        <c:axPos val="b"/>
        <c:majorTickMark val="none"/>
        <c:minorTickMark val="none"/>
        <c:tickLblPos val="nextTo"/>
        <c:txPr>
          <a:bodyPr/>
          <a:lstStyle/>
          <a:p>
            <a:pPr>
              <a:defRPr b="1">
                <a:latin typeface="Times New Roman" pitchFamily="18" charset="0"/>
                <a:cs typeface="Times New Roman" pitchFamily="18" charset="0"/>
              </a:defRPr>
            </a:pPr>
            <a:endParaRPr lang="fr-FR"/>
          </a:p>
        </c:txPr>
        <c:crossAx val="93297280"/>
        <c:crosses val="autoZero"/>
        <c:auto val="1"/>
        <c:lblAlgn val="ctr"/>
        <c:lblOffset val="100"/>
        <c:noMultiLvlLbl val="0"/>
      </c:catAx>
      <c:valAx>
        <c:axId val="93297280"/>
        <c:scaling>
          <c:orientation val="minMax"/>
        </c:scaling>
        <c:delete val="0"/>
        <c:axPos val="l"/>
        <c:title>
          <c:tx>
            <c:rich>
              <a:bodyPr/>
              <a:lstStyle/>
              <a:p>
                <a:pPr>
                  <a:defRPr>
                    <a:latin typeface="Times New Roman" pitchFamily="18" charset="0"/>
                    <a:cs typeface="Times New Roman" pitchFamily="18" charset="0"/>
                  </a:defRPr>
                </a:pPr>
                <a:r>
                  <a:rPr lang="fr-FR">
                    <a:latin typeface="Times New Roman" pitchFamily="18" charset="0"/>
                    <a:cs typeface="Times New Roman" pitchFamily="18" charset="0"/>
                  </a:rPr>
                  <a:t>Montant (million dollars US, 2013)</a:t>
                </a:r>
              </a:p>
            </c:rich>
          </c:tx>
          <c:overlay val="0"/>
        </c:title>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fr-FR"/>
          </a:p>
        </c:txPr>
        <c:crossAx val="9329574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Figure 2.a: Volume</a:t>
            </a:r>
            <a:r>
              <a:rPr lang="en-US" sz="900" baseline="0">
                <a:latin typeface="Times New Roman" pitchFamily="18" charset="0"/>
                <a:cs typeface="Times New Roman" pitchFamily="18" charset="0"/>
              </a:rPr>
              <a:t> de marchandises au PAC</a:t>
            </a:r>
            <a:endParaRPr lang="en-US" sz="900">
              <a:latin typeface="Times New Roman" pitchFamily="18" charset="0"/>
              <a:cs typeface="Times New Roman" pitchFamily="18" charset="0"/>
            </a:endParaRPr>
          </a:p>
        </c:rich>
      </c:tx>
      <c:overlay val="0"/>
    </c:title>
    <c:autoTitleDeleted val="0"/>
    <c:plotArea>
      <c:layout/>
      <c:lineChart>
        <c:grouping val="standard"/>
        <c:varyColors val="0"/>
        <c:ser>
          <c:idx val="1"/>
          <c:order val="0"/>
          <c:tx>
            <c:strRef>
              <c:f>Feuil1!$B$12</c:f>
              <c:strCache>
                <c:ptCount val="1"/>
                <c:pt idx="0">
                  <c:v>Volume</c:v>
                </c:pt>
              </c:strCache>
            </c:strRef>
          </c:tx>
          <c:spPr>
            <a:ln w="44450">
              <a:solidFill>
                <a:schemeClr val="tx2"/>
              </a:solidFill>
            </a:ln>
          </c:spPr>
          <c:marker>
            <c:symbol val="none"/>
          </c:marker>
          <c:cat>
            <c:numRef>
              <c:f>Feuil1!$A$13:$A$18</c:f>
              <c:numCache>
                <c:formatCode>General</c:formatCode>
                <c:ptCount val="6"/>
                <c:pt idx="0">
                  <c:v>2006</c:v>
                </c:pt>
                <c:pt idx="1">
                  <c:v>2007</c:v>
                </c:pt>
                <c:pt idx="2">
                  <c:v>2008</c:v>
                </c:pt>
                <c:pt idx="3">
                  <c:v>2009</c:v>
                </c:pt>
                <c:pt idx="4">
                  <c:v>2010</c:v>
                </c:pt>
                <c:pt idx="5">
                  <c:v>2011</c:v>
                </c:pt>
              </c:numCache>
            </c:numRef>
          </c:cat>
          <c:val>
            <c:numRef>
              <c:f>Feuil1!$B$13:$B$18</c:f>
              <c:numCache>
                <c:formatCode>General</c:formatCode>
                <c:ptCount val="6"/>
                <c:pt idx="0">
                  <c:v>4.0999999999999996</c:v>
                </c:pt>
                <c:pt idx="1">
                  <c:v>6.04</c:v>
                </c:pt>
                <c:pt idx="2">
                  <c:v>6.91</c:v>
                </c:pt>
                <c:pt idx="3">
                  <c:v>6.3599999999999985</c:v>
                </c:pt>
                <c:pt idx="4">
                  <c:v>7.1039999999999965</c:v>
                </c:pt>
                <c:pt idx="5">
                  <c:v>6.9</c:v>
                </c:pt>
              </c:numCache>
            </c:numRef>
          </c:val>
          <c:smooth val="0"/>
        </c:ser>
        <c:dLbls>
          <c:showLegendKey val="0"/>
          <c:showVal val="0"/>
          <c:showCatName val="0"/>
          <c:showSerName val="0"/>
          <c:showPercent val="0"/>
          <c:showBubbleSize val="0"/>
        </c:dLbls>
        <c:marker val="1"/>
        <c:smooth val="0"/>
        <c:axId val="93661440"/>
        <c:axId val="93663232"/>
      </c:lineChart>
      <c:catAx>
        <c:axId val="93661440"/>
        <c:scaling>
          <c:orientation val="minMax"/>
        </c:scaling>
        <c:delete val="0"/>
        <c:axPos val="b"/>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fr-FR"/>
          </a:p>
        </c:txPr>
        <c:crossAx val="93663232"/>
        <c:crosses val="autoZero"/>
        <c:auto val="1"/>
        <c:lblAlgn val="ctr"/>
        <c:lblOffset val="100"/>
        <c:noMultiLvlLbl val="0"/>
      </c:catAx>
      <c:valAx>
        <c:axId val="93663232"/>
        <c:scaling>
          <c:orientation val="minMax"/>
        </c:scaling>
        <c:delete val="0"/>
        <c:axPos val="l"/>
        <c:title>
          <c:tx>
            <c:rich>
              <a:bodyPr/>
              <a:lstStyle/>
              <a:p>
                <a:pPr>
                  <a:defRPr>
                    <a:latin typeface="Times New Roman" pitchFamily="18" charset="0"/>
                    <a:cs typeface="Times New Roman" pitchFamily="18" charset="0"/>
                  </a:defRPr>
                </a:pPr>
                <a:r>
                  <a:rPr lang="fr-FR">
                    <a:latin typeface="Times New Roman" pitchFamily="18" charset="0"/>
                    <a:cs typeface="Times New Roman" pitchFamily="18" charset="0"/>
                  </a:rPr>
                  <a:t>(En</a:t>
                </a:r>
                <a:r>
                  <a:rPr lang="fr-FR" baseline="0">
                    <a:latin typeface="Times New Roman" pitchFamily="18" charset="0"/>
                    <a:cs typeface="Times New Roman" pitchFamily="18" charset="0"/>
                  </a:rPr>
                  <a:t> tonnes métriques)</a:t>
                </a:r>
                <a:endParaRPr lang="fr-FR">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fr-FR"/>
          </a:p>
        </c:txPr>
        <c:crossAx val="936614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Times New Roman" pitchFamily="18" charset="0"/>
                <a:cs typeface="Times New Roman" pitchFamily="18" charset="0"/>
              </a:defRPr>
            </a:pPr>
            <a:r>
              <a:rPr lang="fr-FR" sz="900">
                <a:latin typeface="Times New Roman" pitchFamily="18" charset="0"/>
                <a:cs typeface="Times New Roman" pitchFamily="18" charset="0"/>
              </a:rPr>
              <a:t>Figure 2.b: Valeur</a:t>
            </a:r>
            <a:r>
              <a:rPr lang="fr-FR" sz="900" baseline="0">
                <a:latin typeface="Times New Roman" pitchFamily="18" charset="0"/>
                <a:cs typeface="Times New Roman" pitchFamily="18" charset="0"/>
              </a:rPr>
              <a:t> de m</a:t>
            </a:r>
            <a:r>
              <a:rPr lang="fr-FR" sz="900">
                <a:latin typeface="Times New Roman" pitchFamily="18" charset="0"/>
                <a:cs typeface="Times New Roman" pitchFamily="18" charset="0"/>
              </a:rPr>
              <a:t>archandises échangées</a:t>
            </a:r>
            <a:r>
              <a:rPr lang="fr-FR" sz="900" baseline="0">
                <a:latin typeface="Times New Roman" pitchFamily="18" charset="0"/>
                <a:cs typeface="Times New Roman" pitchFamily="18" charset="0"/>
              </a:rPr>
              <a:t> </a:t>
            </a:r>
            <a:endParaRPr lang="fr-FR" sz="900">
              <a:latin typeface="Times New Roman" pitchFamily="18" charset="0"/>
              <a:cs typeface="Times New Roman" pitchFamily="18" charset="0"/>
            </a:endParaRPr>
          </a:p>
        </c:rich>
      </c:tx>
      <c:overlay val="0"/>
    </c:title>
    <c:autoTitleDeleted val="0"/>
    <c:plotArea>
      <c:layout/>
      <c:lineChart>
        <c:grouping val="standard"/>
        <c:varyColors val="0"/>
        <c:ser>
          <c:idx val="1"/>
          <c:order val="0"/>
          <c:spPr>
            <a:ln w="38100">
              <a:solidFill>
                <a:srgbClr val="C00000"/>
              </a:solidFill>
            </a:ln>
          </c:spPr>
          <c:marker>
            <c:symbol val="none"/>
          </c:marker>
          <c:cat>
            <c:numRef>
              <c:f>Feuil3!$B$1:$Y$1</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Feuil3!$B$2:$Y$2</c:f>
              <c:numCache>
                <c:formatCode>General</c:formatCode>
                <c:ptCount val="24"/>
                <c:pt idx="0">
                  <c:v>28.21478479242834</c:v>
                </c:pt>
                <c:pt idx="1">
                  <c:v>28.74492222260049</c:v>
                </c:pt>
                <c:pt idx="2">
                  <c:v>53.860781031463979</c:v>
                </c:pt>
                <c:pt idx="3">
                  <c:v>42.000686152061974</c:v>
                </c:pt>
                <c:pt idx="4">
                  <c:v>51.881138857469956</c:v>
                </c:pt>
                <c:pt idx="5">
                  <c:v>53.726743153050258</c:v>
                </c:pt>
                <c:pt idx="6">
                  <c:v>50.072922109950817</c:v>
                </c:pt>
                <c:pt idx="7">
                  <c:v>48.714861287964368</c:v>
                </c:pt>
                <c:pt idx="8">
                  <c:v>46.556287081054023</c:v>
                </c:pt>
                <c:pt idx="9">
                  <c:v>47.049040213040136</c:v>
                </c:pt>
                <c:pt idx="10">
                  <c:v>42.600589161977716</c:v>
                </c:pt>
                <c:pt idx="11">
                  <c:v>39.89165808055688</c:v>
                </c:pt>
                <c:pt idx="12">
                  <c:v>41.770944192949763</c:v>
                </c:pt>
                <c:pt idx="13">
                  <c:v>40.278394146331038</c:v>
                </c:pt>
                <c:pt idx="14">
                  <c:v>36.099480151071866</c:v>
                </c:pt>
                <c:pt idx="15">
                  <c:v>36.627538830277629</c:v>
                </c:pt>
                <c:pt idx="16">
                  <c:v>41.742050917442334</c:v>
                </c:pt>
                <c:pt idx="17">
                  <c:v>55.949303924022963</c:v>
                </c:pt>
                <c:pt idx="18">
                  <c:v>53.842593405597214</c:v>
                </c:pt>
                <c:pt idx="19">
                  <c:v>49.950296097229241</c:v>
                </c:pt>
                <c:pt idx="20">
                  <c:v>50.832058137403912</c:v>
                </c:pt>
                <c:pt idx="21">
                  <c:v>46.360264712479641</c:v>
                </c:pt>
                <c:pt idx="22">
                  <c:v>47.062356075097206</c:v>
                </c:pt>
                <c:pt idx="23">
                  <c:v>46.947101678808991</c:v>
                </c:pt>
              </c:numCache>
            </c:numRef>
          </c:val>
          <c:smooth val="0"/>
        </c:ser>
        <c:dLbls>
          <c:showLegendKey val="0"/>
          <c:showVal val="0"/>
          <c:showCatName val="0"/>
          <c:showSerName val="0"/>
          <c:showPercent val="0"/>
          <c:showBubbleSize val="0"/>
        </c:dLbls>
        <c:marker val="1"/>
        <c:smooth val="0"/>
        <c:axId val="93676288"/>
        <c:axId val="93677824"/>
      </c:lineChart>
      <c:catAx>
        <c:axId val="93676288"/>
        <c:scaling>
          <c:orientation val="minMax"/>
        </c:scaling>
        <c:delete val="0"/>
        <c:axPos val="b"/>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fr-FR"/>
          </a:p>
        </c:txPr>
        <c:crossAx val="93677824"/>
        <c:crosses val="autoZero"/>
        <c:auto val="1"/>
        <c:lblAlgn val="ctr"/>
        <c:lblOffset val="100"/>
        <c:tickLblSkip val="2"/>
        <c:noMultiLvlLbl val="0"/>
      </c:catAx>
      <c:valAx>
        <c:axId val="93677824"/>
        <c:scaling>
          <c:orientation val="minMax"/>
        </c:scaling>
        <c:delete val="0"/>
        <c:axPos val="l"/>
        <c:title>
          <c:tx>
            <c:rich>
              <a:bodyPr/>
              <a:lstStyle/>
              <a:p>
                <a:pPr>
                  <a:defRPr>
                    <a:latin typeface="Times New Roman" pitchFamily="18" charset="0"/>
                    <a:cs typeface="Times New Roman" pitchFamily="18" charset="0"/>
                  </a:defRPr>
                </a:pPr>
                <a:r>
                  <a:rPr lang="fr-FR">
                    <a:latin typeface="Times New Roman" pitchFamily="18" charset="0"/>
                    <a:cs typeface="Times New Roman" pitchFamily="18" charset="0"/>
                  </a:rPr>
                  <a:t>(En % du PIB)</a:t>
                </a:r>
              </a:p>
            </c:rich>
          </c:tx>
          <c:overlay val="0"/>
        </c:title>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fr-FR"/>
          </a:p>
        </c:txPr>
        <c:crossAx val="9367628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Figure 3.a: Durée des navires en rade et à quai</a:t>
            </a:r>
          </a:p>
        </c:rich>
      </c:tx>
      <c:overlay val="0"/>
    </c:title>
    <c:autoTitleDeleted val="0"/>
    <c:plotArea>
      <c:layout/>
      <c:lineChart>
        <c:grouping val="standard"/>
        <c:varyColors val="0"/>
        <c:ser>
          <c:idx val="1"/>
          <c:order val="0"/>
          <c:tx>
            <c:strRef>
              <c:f>Feuil1!$C$12</c:f>
              <c:strCache>
                <c:ptCount val="1"/>
                <c:pt idx="0">
                  <c:v>Durée en rade (heures, axe à gauche)</c:v>
                </c:pt>
              </c:strCache>
            </c:strRef>
          </c:tx>
          <c:spPr>
            <a:ln w="44450">
              <a:prstDash val="sysDash"/>
            </a:ln>
          </c:spPr>
          <c:marker>
            <c:symbol val="none"/>
          </c:marker>
          <c:cat>
            <c:numRef>
              <c:f>Feuil1!$A$13:$A$18</c:f>
              <c:numCache>
                <c:formatCode>General</c:formatCode>
                <c:ptCount val="6"/>
                <c:pt idx="0">
                  <c:v>2006</c:v>
                </c:pt>
                <c:pt idx="1">
                  <c:v>2007</c:v>
                </c:pt>
                <c:pt idx="2">
                  <c:v>2008</c:v>
                </c:pt>
                <c:pt idx="3">
                  <c:v>2009</c:v>
                </c:pt>
                <c:pt idx="4">
                  <c:v>2010</c:v>
                </c:pt>
                <c:pt idx="5">
                  <c:v>2011</c:v>
                </c:pt>
              </c:numCache>
            </c:numRef>
          </c:cat>
          <c:val>
            <c:numRef>
              <c:f>Feuil1!$C$13:$C$18</c:f>
              <c:numCache>
                <c:formatCode>General</c:formatCode>
                <c:ptCount val="6"/>
                <c:pt idx="0">
                  <c:v>16</c:v>
                </c:pt>
                <c:pt idx="1">
                  <c:v>49</c:v>
                </c:pt>
                <c:pt idx="2">
                  <c:v>67.599999999999994</c:v>
                </c:pt>
                <c:pt idx="3">
                  <c:v>39.120000000000012</c:v>
                </c:pt>
                <c:pt idx="4">
                  <c:v>34.720000000000013</c:v>
                </c:pt>
                <c:pt idx="5">
                  <c:v>34.6</c:v>
                </c:pt>
              </c:numCache>
            </c:numRef>
          </c:val>
          <c:smooth val="0"/>
        </c:ser>
        <c:dLbls>
          <c:showLegendKey val="0"/>
          <c:showVal val="0"/>
          <c:showCatName val="0"/>
          <c:showSerName val="0"/>
          <c:showPercent val="0"/>
          <c:showBubbleSize val="0"/>
        </c:dLbls>
        <c:marker val="1"/>
        <c:smooth val="0"/>
        <c:axId val="93691264"/>
        <c:axId val="93701248"/>
      </c:lineChart>
      <c:lineChart>
        <c:grouping val="standard"/>
        <c:varyColors val="0"/>
        <c:ser>
          <c:idx val="0"/>
          <c:order val="1"/>
          <c:tx>
            <c:strRef>
              <c:f>Feuil1!$D$12</c:f>
              <c:strCache>
                <c:ptCount val="1"/>
                <c:pt idx="0">
                  <c:v>Durée à quai (jours)</c:v>
                </c:pt>
              </c:strCache>
            </c:strRef>
          </c:tx>
          <c:spPr>
            <a:ln w="44450"/>
          </c:spPr>
          <c:marker>
            <c:symbol val="none"/>
          </c:marker>
          <c:cat>
            <c:numRef>
              <c:f>Feuil1!$A$13:$A$18</c:f>
              <c:numCache>
                <c:formatCode>General</c:formatCode>
                <c:ptCount val="6"/>
                <c:pt idx="0">
                  <c:v>2006</c:v>
                </c:pt>
                <c:pt idx="1">
                  <c:v>2007</c:v>
                </c:pt>
                <c:pt idx="2">
                  <c:v>2008</c:v>
                </c:pt>
                <c:pt idx="3">
                  <c:v>2009</c:v>
                </c:pt>
                <c:pt idx="4">
                  <c:v>2010</c:v>
                </c:pt>
                <c:pt idx="5">
                  <c:v>2011</c:v>
                </c:pt>
              </c:numCache>
            </c:numRef>
          </c:cat>
          <c:val>
            <c:numRef>
              <c:f>Feuil1!$D$13:$D$18</c:f>
              <c:numCache>
                <c:formatCode>General</c:formatCode>
                <c:ptCount val="6"/>
                <c:pt idx="0">
                  <c:v>2</c:v>
                </c:pt>
                <c:pt idx="1">
                  <c:v>1.53</c:v>
                </c:pt>
                <c:pt idx="2">
                  <c:v>1.9800000000000029</c:v>
                </c:pt>
                <c:pt idx="3">
                  <c:v>1.6</c:v>
                </c:pt>
                <c:pt idx="4">
                  <c:v>1.1000000000000001</c:v>
                </c:pt>
                <c:pt idx="5">
                  <c:v>1.31</c:v>
                </c:pt>
              </c:numCache>
            </c:numRef>
          </c:val>
          <c:smooth val="0"/>
        </c:ser>
        <c:dLbls>
          <c:showLegendKey val="0"/>
          <c:showVal val="0"/>
          <c:showCatName val="0"/>
          <c:showSerName val="0"/>
          <c:showPercent val="0"/>
          <c:showBubbleSize val="0"/>
        </c:dLbls>
        <c:marker val="1"/>
        <c:smooth val="0"/>
        <c:axId val="93704576"/>
        <c:axId val="93702784"/>
      </c:lineChart>
      <c:catAx>
        <c:axId val="93691264"/>
        <c:scaling>
          <c:orientation val="minMax"/>
        </c:scaling>
        <c:delete val="0"/>
        <c:axPos val="b"/>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fr-FR"/>
          </a:p>
        </c:txPr>
        <c:crossAx val="93701248"/>
        <c:crosses val="autoZero"/>
        <c:auto val="1"/>
        <c:lblAlgn val="ctr"/>
        <c:lblOffset val="100"/>
        <c:noMultiLvlLbl val="0"/>
      </c:catAx>
      <c:valAx>
        <c:axId val="93701248"/>
        <c:scaling>
          <c:orientation val="minMax"/>
        </c:scaling>
        <c:delete val="0"/>
        <c:axPos val="l"/>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fr-FR"/>
          </a:p>
        </c:txPr>
        <c:crossAx val="93691264"/>
        <c:crosses val="autoZero"/>
        <c:crossBetween val="between"/>
      </c:valAx>
      <c:valAx>
        <c:axId val="93702784"/>
        <c:scaling>
          <c:orientation val="minMax"/>
        </c:scaling>
        <c:delete val="0"/>
        <c:axPos val="r"/>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fr-FR"/>
          </a:p>
        </c:txPr>
        <c:crossAx val="93704576"/>
        <c:crosses val="max"/>
        <c:crossBetween val="between"/>
      </c:valAx>
      <c:catAx>
        <c:axId val="93704576"/>
        <c:scaling>
          <c:orientation val="minMax"/>
        </c:scaling>
        <c:delete val="1"/>
        <c:axPos val="b"/>
        <c:numFmt formatCode="General" sourceLinked="1"/>
        <c:majorTickMark val="out"/>
        <c:minorTickMark val="none"/>
        <c:tickLblPos val="nextTo"/>
        <c:crossAx val="93702784"/>
        <c:crosses val="autoZero"/>
        <c:auto val="1"/>
        <c:lblAlgn val="ctr"/>
        <c:lblOffset val="100"/>
        <c:noMultiLvlLbl val="0"/>
      </c:catAx>
    </c:plotArea>
    <c:legend>
      <c:legendPos val="b"/>
      <c:overlay val="0"/>
      <c:txPr>
        <a:bodyPr/>
        <a:lstStyle/>
        <a:p>
          <a:pPr>
            <a:defRPr sz="900" b="1">
              <a:latin typeface="Times New Roman" pitchFamily="18" charset="0"/>
              <a:cs typeface="Times New Roman" pitchFamily="18" charset="0"/>
            </a:defRPr>
          </a:pPr>
          <a:endParaRPr lang="fr-FR"/>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Times New Roman" pitchFamily="18" charset="0"/>
                <a:cs typeface="Times New Roman" pitchFamily="18" charset="0"/>
              </a:defRPr>
            </a:pPr>
            <a:r>
              <a:rPr lang="fr-FR" sz="900">
                <a:latin typeface="Times New Roman" pitchFamily="18" charset="0"/>
                <a:cs typeface="Times New Roman" pitchFamily="18" charset="0"/>
              </a:rPr>
              <a:t>Figure 3.b:</a:t>
            </a:r>
            <a:r>
              <a:rPr lang="fr-FR" sz="900" baseline="0">
                <a:latin typeface="Times New Roman" pitchFamily="18" charset="0"/>
                <a:cs typeface="Times New Roman" pitchFamily="18" charset="0"/>
              </a:rPr>
              <a:t> Temps à l'importation et à l'exportation</a:t>
            </a:r>
            <a:endParaRPr lang="fr-FR" sz="900">
              <a:latin typeface="Times New Roman" pitchFamily="18" charset="0"/>
              <a:cs typeface="Times New Roman" pitchFamily="18" charset="0"/>
            </a:endParaRPr>
          </a:p>
        </c:rich>
      </c:tx>
      <c:overlay val="0"/>
    </c:title>
    <c:autoTitleDeleted val="0"/>
    <c:plotArea>
      <c:layout/>
      <c:lineChart>
        <c:grouping val="standard"/>
        <c:varyColors val="0"/>
        <c:ser>
          <c:idx val="1"/>
          <c:order val="0"/>
          <c:tx>
            <c:strRef>
              <c:f>Feuil4!$C$2</c:f>
              <c:strCache>
                <c:ptCount val="1"/>
                <c:pt idx="0">
                  <c:v>Exportation</c:v>
                </c:pt>
              </c:strCache>
            </c:strRef>
          </c:tx>
          <c:spPr>
            <a:ln w="44450">
              <a:solidFill>
                <a:srgbClr val="C00000"/>
              </a:solidFill>
              <a:prstDash val="sysDot"/>
            </a:ln>
          </c:spPr>
          <c:marker>
            <c:symbol val="none"/>
          </c:marker>
          <c:cat>
            <c:numRef>
              <c:f>Feuil4!$D$1:$M$1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Feuil4!$D$2:$M$2</c:f>
              <c:numCache>
                <c:formatCode>General</c:formatCode>
                <c:ptCount val="10"/>
                <c:pt idx="0">
                  <c:v>34</c:v>
                </c:pt>
                <c:pt idx="1">
                  <c:v>34</c:v>
                </c:pt>
                <c:pt idx="2">
                  <c:v>34</c:v>
                </c:pt>
                <c:pt idx="3">
                  <c:v>32</c:v>
                </c:pt>
                <c:pt idx="4">
                  <c:v>30</c:v>
                </c:pt>
                <c:pt idx="5">
                  <c:v>30</c:v>
                </c:pt>
                <c:pt idx="6">
                  <c:v>30</c:v>
                </c:pt>
                <c:pt idx="7">
                  <c:v>29</c:v>
                </c:pt>
                <c:pt idx="8">
                  <c:v>26</c:v>
                </c:pt>
                <c:pt idx="9">
                  <c:v>25</c:v>
                </c:pt>
              </c:numCache>
            </c:numRef>
          </c:val>
          <c:smooth val="0"/>
        </c:ser>
        <c:ser>
          <c:idx val="2"/>
          <c:order val="1"/>
          <c:tx>
            <c:strRef>
              <c:f>Feuil4!$C$3</c:f>
              <c:strCache>
                <c:ptCount val="1"/>
                <c:pt idx="0">
                  <c:v>Importation</c:v>
                </c:pt>
              </c:strCache>
            </c:strRef>
          </c:tx>
          <c:spPr>
            <a:ln w="44450">
              <a:solidFill>
                <a:schemeClr val="tx2"/>
              </a:solidFill>
            </a:ln>
          </c:spPr>
          <c:marker>
            <c:symbol val="none"/>
          </c:marker>
          <c:cat>
            <c:numRef>
              <c:f>Feuil4!$D$1:$M$1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Feuil4!$D$3:$M$3</c:f>
              <c:numCache>
                <c:formatCode>General</c:formatCode>
                <c:ptCount val="10"/>
                <c:pt idx="0">
                  <c:v>38</c:v>
                </c:pt>
                <c:pt idx="1">
                  <c:v>38</c:v>
                </c:pt>
                <c:pt idx="2">
                  <c:v>38</c:v>
                </c:pt>
                <c:pt idx="3">
                  <c:v>37</c:v>
                </c:pt>
                <c:pt idx="4">
                  <c:v>32</c:v>
                </c:pt>
                <c:pt idx="5">
                  <c:v>32</c:v>
                </c:pt>
                <c:pt idx="6">
                  <c:v>32</c:v>
                </c:pt>
                <c:pt idx="7">
                  <c:v>30</c:v>
                </c:pt>
                <c:pt idx="8">
                  <c:v>27</c:v>
                </c:pt>
                <c:pt idx="9">
                  <c:v>25</c:v>
                </c:pt>
              </c:numCache>
            </c:numRef>
          </c:val>
          <c:smooth val="0"/>
        </c:ser>
        <c:dLbls>
          <c:showLegendKey val="0"/>
          <c:showVal val="0"/>
          <c:showCatName val="0"/>
          <c:showSerName val="0"/>
          <c:showPercent val="0"/>
          <c:showBubbleSize val="0"/>
        </c:dLbls>
        <c:marker val="1"/>
        <c:smooth val="0"/>
        <c:axId val="93852800"/>
        <c:axId val="93854336"/>
      </c:lineChart>
      <c:catAx>
        <c:axId val="93852800"/>
        <c:scaling>
          <c:orientation val="minMax"/>
        </c:scaling>
        <c:delete val="0"/>
        <c:axPos val="b"/>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fr-FR"/>
          </a:p>
        </c:txPr>
        <c:crossAx val="93854336"/>
        <c:crosses val="autoZero"/>
        <c:auto val="1"/>
        <c:lblAlgn val="ctr"/>
        <c:lblOffset val="100"/>
        <c:noMultiLvlLbl val="0"/>
      </c:catAx>
      <c:valAx>
        <c:axId val="93854336"/>
        <c:scaling>
          <c:orientation val="minMax"/>
        </c:scaling>
        <c:delete val="0"/>
        <c:axPos val="l"/>
        <c:title>
          <c:tx>
            <c:rich>
              <a:bodyPr/>
              <a:lstStyle/>
              <a:p>
                <a:pPr>
                  <a:defRPr>
                    <a:latin typeface="Times New Roman" pitchFamily="18" charset="0"/>
                    <a:cs typeface="Times New Roman" pitchFamily="18" charset="0"/>
                  </a:defRPr>
                </a:pPr>
                <a:r>
                  <a:rPr lang="fr-FR">
                    <a:latin typeface="Times New Roman" pitchFamily="18" charset="0"/>
                    <a:cs typeface="Times New Roman" pitchFamily="18" charset="0"/>
                  </a:rPr>
                  <a:t>Nombre de jours</a:t>
                </a:r>
              </a:p>
            </c:rich>
          </c:tx>
          <c:overlay val="0"/>
        </c:title>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fr-FR"/>
          </a:p>
        </c:txPr>
        <c:crossAx val="93852800"/>
        <c:crosses val="autoZero"/>
        <c:crossBetween val="between"/>
      </c:valAx>
    </c:plotArea>
    <c:legend>
      <c:legendPos val="b"/>
      <c:overlay val="0"/>
      <c:txPr>
        <a:bodyPr/>
        <a:lstStyle/>
        <a:p>
          <a:pPr>
            <a:defRPr b="1">
              <a:latin typeface="Times New Roman" pitchFamily="18" charset="0"/>
              <a:cs typeface="Times New Roman" pitchFamily="18" charset="0"/>
            </a:defRPr>
          </a:pPr>
          <a:endParaRPr lang="fr-FR"/>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fr-FR" sz="1000">
                <a:latin typeface="Times New Roman" pitchFamily="18" charset="0"/>
                <a:cs typeface="Times New Roman" pitchFamily="18" charset="0"/>
              </a:rPr>
              <a:t>Figure 4:</a:t>
            </a:r>
            <a:r>
              <a:rPr lang="fr-FR" sz="1000" baseline="0">
                <a:latin typeface="Times New Roman" pitchFamily="18" charset="0"/>
                <a:cs typeface="Times New Roman" pitchFamily="18" charset="0"/>
              </a:rPr>
              <a:t> Coût de traitement par conteneurs</a:t>
            </a:r>
            <a:endParaRPr lang="fr-FR" sz="1000">
              <a:latin typeface="Times New Roman" pitchFamily="18" charset="0"/>
              <a:cs typeface="Times New Roman" pitchFamily="18" charset="0"/>
            </a:endParaRPr>
          </a:p>
        </c:rich>
      </c:tx>
      <c:overlay val="0"/>
    </c:title>
    <c:autoTitleDeleted val="0"/>
    <c:plotArea>
      <c:layout/>
      <c:lineChart>
        <c:grouping val="standard"/>
        <c:varyColors val="0"/>
        <c:ser>
          <c:idx val="1"/>
          <c:order val="0"/>
          <c:tx>
            <c:strRef>
              <c:f>Feuil5!$C$2</c:f>
              <c:strCache>
                <c:ptCount val="1"/>
                <c:pt idx="0">
                  <c:v>Exportation</c:v>
                </c:pt>
              </c:strCache>
            </c:strRef>
          </c:tx>
          <c:spPr>
            <a:ln w="44450">
              <a:solidFill>
                <a:schemeClr val="tx1"/>
              </a:solidFill>
            </a:ln>
          </c:spPr>
          <c:marker>
            <c:symbol val="none"/>
          </c:marker>
          <c:cat>
            <c:numRef>
              <c:f>Feuil5!$D$1:$M$1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Feuil5!$D$2:$M$2</c:f>
              <c:numCache>
                <c:formatCode>General</c:formatCode>
                <c:ptCount val="10"/>
                <c:pt idx="0">
                  <c:v>987</c:v>
                </c:pt>
                <c:pt idx="1">
                  <c:v>987</c:v>
                </c:pt>
                <c:pt idx="2">
                  <c:v>987</c:v>
                </c:pt>
                <c:pt idx="3">
                  <c:v>1057</c:v>
                </c:pt>
                <c:pt idx="4">
                  <c:v>1071</c:v>
                </c:pt>
                <c:pt idx="5">
                  <c:v>1071</c:v>
                </c:pt>
                <c:pt idx="6">
                  <c:v>1071</c:v>
                </c:pt>
                <c:pt idx="7">
                  <c:v>1101</c:v>
                </c:pt>
                <c:pt idx="8">
                  <c:v>1052</c:v>
                </c:pt>
                <c:pt idx="9">
                  <c:v>1052</c:v>
                </c:pt>
              </c:numCache>
            </c:numRef>
          </c:val>
          <c:smooth val="0"/>
        </c:ser>
        <c:ser>
          <c:idx val="2"/>
          <c:order val="1"/>
          <c:tx>
            <c:strRef>
              <c:f>Feuil5!$C$3</c:f>
              <c:strCache>
                <c:ptCount val="1"/>
                <c:pt idx="0">
                  <c:v>Importation</c:v>
                </c:pt>
              </c:strCache>
            </c:strRef>
          </c:tx>
          <c:spPr>
            <a:ln w="44450">
              <a:solidFill>
                <a:srgbClr val="C00000"/>
              </a:solidFill>
              <a:prstDash val="sysDash"/>
            </a:ln>
          </c:spPr>
          <c:marker>
            <c:symbol val="none"/>
          </c:marker>
          <c:cat>
            <c:numRef>
              <c:f>Feuil5!$D$1:$M$1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Feuil5!$D$3:$M$3</c:f>
              <c:numCache>
                <c:formatCode>General</c:formatCode>
                <c:ptCount val="10"/>
                <c:pt idx="0">
                  <c:v>1222</c:v>
                </c:pt>
                <c:pt idx="1">
                  <c:v>1222</c:v>
                </c:pt>
                <c:pt idx="2">
                  <c:v>1222</c:v>
                </c:pt>
                <c:pt idx="3">
                  <c:v>1413</c:v>
                </c:pt>
                <c:pt idx="4">
                  <c:v>1420</c:v>
                </c:pt>
                <c:pt idx="5">
                  <c:v>1420</c:v>
                </c:pt>
                <c:pt idx="6">
                  <c:v>1516</c:v>
                </c:pt>
                <c:pt idx="7">
                  <c:v>1569</c:v>
                </c:pt>
                <c:pt idx="8">
                  <c:v>1520</c:v>
                </c:pt>
                <c:pt idx="9">
                  <c:v>1487</c:v>
                </c:pt>
              </c:numCache>
            </c:numRef>
          </c:val>
          <c:smooth val="0"/>
        </c:ser>
        <c:dLbls>
          <c:showLegendKey val="0"/>
          <c:showVal val="0"/>
          <c:showCatName val="0"/>
          <c:showSerName val="0"/>
          <c:showPercent val="0"/>
          <c:showBubbleSize val="0"/>
        </c:dLbls>
        <c:marker val="1"/>
        <c:smooth val="0"/>
        <c:axId val="93892608"/>
        <c:axId val="93894144"/>
      </c:lineChart>
      <c:catAx>
        <c:axId val="93892608"/>
        <c:scaling>
          <c:orientation val="minMax"/>
        </c:scaling>
        <c:delete val="0"/>
        <c:axPos val="b"/>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fr-FR"/>
          </a:p>
        </c:txPr>
        <c:crossAx val="93894144"/>
        <c:crosses val="autoZero"/>
        <c:auto val="1"/>
        <c:lblAlgn val="ctr"/>
        <c:lblOffset val="100"/>
        <c:noMultiLvlLbl val="0"/>
      </c:catAx>
      <c:valAx>
        <c:axId val="93894144"/>
        <c:scaling>
          <c:orientation val="minMax"/>
        </c:scaling>
        <c:delete val="0"/>
        <c:axPos val="l"/>
        <c:title>
          <c:tx>
            <c:rich>
              <a:bodyPr/>
              <a:lstStyle/>
              <a:p>
                <a:pPr>
                  <a:defRPr>
                    <a:latin typeface="Times New Roman" pitchFamily="18" charset="0"/>
                    <a:cs typeface="Times New Roman" pitchFamily="18" charset="0"/>
                  </a:defRPr>
                </a:pPr>
                <a:r>
                  <a:rPr lang="fr-FR">
                    <a:latin typeface="Times New Roman" pitchFamily="18" charset="0"/>
                    <a:cs typeface="Times New Roman" pitchFamily="18" charset="0"/>
                  </a:rPr>
                  <a:t>Montant en dollars US</a:t>
                </a:r>
              </a:p>
            </c:rich>
          </c:tx>
          <c:overlay val="0"/>
        </c:title>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fr-FR"/>
          </a:p>
        </c:txPr>
        <c:crossAx val="93892608"/>
        <c:crosses val="autoZero"/>
        <c:crossBetween val="between"/>
      </c:valAx>
    </c:plotArea>
    <c:legend>
      <c:legendPos val="b"/>
      <c:overlay val="0"/>
      <c:txPr>
        <a:bodyPr/>
        <a:lstStyle/>
        <a:p>
          <a:pPr>
            <a:defRPr b="1">
              <a:latin typeface="Times New Roman" pitchFamily="18" charset="0"/>
              <a:cs typeface="Times New Roman" pitchFamily="18" charset="0"/>
            </a:defRPr>
          </a:pPr>
          <a:endParaRPr lang="fr-FR"/>
        </a:p>
      </c:txPr>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BCC8B-0665-4775-AADA-71093343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12109</Words>
  <Characters>66600</Characters>
  <Application>Microsoft Office Word</Application>
  <DocSecurity>0</DocSecurity>
  <Lines>555</Lines>
  <Paragraphs>157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CAE PALAIS</cp:lastModifiedBy>
  <cp:revision>3</cp:revision>
  <dcterms:created xsi:type="dcterms:W3CDTF">2015-06-08T18:55:00Z</dcterms:created>
  <dcterms:modified xsi:type="dcterms:W3CDTF">2015-06-08T18:56:00Z</dcterms:modified>
</cp:coreProperties>
</file>